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A331C" w14:textId="5ED48CA2" w:rsidR="000C338A" w:rsidRPr="000C338A" w:rsidRDefault="00DC53A0" w:rsidP="000C338A">
      <w:pPr>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pPr>
      <w:r>
        <w:rPr>
          <w:rFonts w:ascii="Calibri" w:hAnsi="Calibri" w:cs="Calibri"/>
          <w:b/>
          <w:bCs/>
          <w:noProof/>
          <w:lang w:val="en-US"/>
        </w:rPr>
        <w:drawing>
          <wp:anchor distT="0" distB="0" distL="114300" distR="114300" simplePos="0" relativeHeight="251660287" behindDoc="1" locked="0" layoutInCell="1" allowOverlap="1" wp14:anchorId="399DB14C" wp14:editId="78393D88">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338A" w:rsidRPr="000C338A">
        <w:rPr>
          <w:rFonts w:ascii="Calibri" w:hAnsi="Calibri" w:cs="Calibri"/>
          <w:b/>
          <w:bCs/>
          <w:noProof/>
          <w:color w:val="000000" w:themeColor="text1"/>
          <w:sz w:val="22"/>
          <w:szCs w:val="22"/>
          <w:lang w:val="fr-FR"/>
        </w:rPr>
        <mc:AlternateContent>
          <mc:Choice Requires="wps">
            <w:drawing>
              <wp:anchor distT="0" distB="0" distL="114300" distR="114300" simplePos="0" relativeHeight="251663360" behindDoc="0" locked="0" layoutInCell="1" allowOverlap="1" wp14:anchorId="44BE9E33" wp14:editId="3273EA3F">
                <wp:simplePos x="0" y="0"/>
                <wp:positionH relativeFrom="column">
                  <wp:posOffset>515126</wp:posOffset>
                </wp:positionH>
                <wp:positionV relativeFrom="paragraph">
                  <wp:posOffset>448310</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4">
                            <a:lumMod val="60000"/>
                            <a:lumOff val="40000"/>
                          </a:schemeClr>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CBEC39" id="Rectangle 63" o:spid="_x0000_s1026" style="position:absolute;margin-left:40.55pt;margin-top:35.3pt;width:46.2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mc:Fallback>
        </mc:AlternateConten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SUMMARY SHEETS : ARTICLE </w:t>
      </w:r>
      <w:r w:rsidR="00CF3827">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31</w: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ECHFR </w:t>
      </w:r>
    </w:p>
    <w:p w14:paraId="6EB7AACF" w14:textId="173C1CD3" w:rsidR="009F095C" w:rsidRPr="000C338A" w:rsidRDefault="000C338A" w:rsidP="000C338A">
      <w:pPr>
        <w:rPr>
          <w:rFonts w:ascii="Calibri" w:eastAsiaTheme="majorEastAsia" w:hAnsi="Calibri" w:cs="Calibri"/>
          <w:spacing w:val="-10"/>
          <w:kern w:val="28"/>
          <w:sz w:val="56"/>
          <w:szCs w:val="56"/>
        </w:rPr>
      </w:pPr>
      <w:r w:rsidRPr="00BA7FF3">
        <w:rPr>
          <w:b/>
          <w:i/>
          <w:noProof/>
        </w:rPr>
        <mc:AlternateContent>
          <mc:Choice Requires="wps">
            <w:drawing>
              <wp:anchor distT="45720" distB="45720" distL="114300" distR="114300" simplePos="0" relativeHeight="251661312" behindDoc="0" locked="0" layoutInCell="1" allowOverlap="1" wp14:anchorId="27736D77" wp14:editId="3A21B62F">
                <wp:simplePos x="0" y="0"/>
                <wp:positionH relativeFrom="margin">
                  <wp:align>left</wp:align>
                </wp:positionH>
                <wp:positionV relativeFrom="paragraph">
                  <wp:posOffset>578485</wp:posOffset>
                </wp:positionV>
                <wp:extent cx="5381625" cy="1404620"/>
                <wp:effectExtent l="0" t="0" r="28575" b="209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ound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7C507F1B" w14:textId="5E55658D" w:rsidR="00CF3827" w:rsidRPr="00CF3827" w:rsidRDefault="00CF3827" w:rsidP="00CF3827">
                            <w:pPr>
                              <w:rPr>
                                <w:rFonts w:asciiTheme="majorHAnsi" w:eastAsia="Calibri" w:hAnsiTheme="majorHAnsi" w:cstheme="majorHAnsi"/>
                                <w:b/>
                                <w:i/>
                                <w:kern w:val="0"/>
                                <w:lang w:val="en-GB" w:eastAsia="en-GB"/>
                                <w14:ligatures w14:val="none"/>
                              </w:rPr>
                            </w:pPr>
                            <w:r w:rsidRPr="00CF3827">
                              <w:rPr>
                                <w:rFonts w:ascii="Calibri" w:eastAsia="Calibri" w:hAnsi="Calibri" w:cs="Calibri"/>
                                <w:b/>
                                <w:i/>
                                <w:kern w:val="0"/>
                                <w:lang w:val="en-GB" w:eastAsia="en-GB"/>
                                <w14:ligatures w14:val="none"/>
                              </w:rPr>
                              <w:t>“</w:t>
                            </w:r>
                            <w:r w:rsidRPr="00CF3827">
                              <w:rPr>
                                <w:rFonts w:asciiTheme="majorHAnsi" w:eastAsia="Calibri" w:hAnsiTheme="majorHAnsi" w:cstheme="majorHAnsi"/>
                                <w:b/>
                                <w:i/>
                                <w:kern w:val="0"/>
                                <w:lang w:val="en-GB" w:eastAsia="en-GB"/>
                                <w14:ligatures w14:val="none"/>
                              </w:rPr>
                              <w:t>Fair and just working conditions”.</w:t>
                            </w:r>
                          </w:p>
                          <w:p w14:paraId="37292C9D" w14:textId="77777777" w:rsidR="00CF3827" w:rsidRPr="00CF3827" w:rsidRDefault="00CF3827" w:rsidP="00CF3827">
                            <w:pPr>
                              <w:jc w:val="both"/>
                              <w:rPr>
                                <w:rFonts w:asciiTheme="majorHAnsi" w:eastAsia="Calibri" w:hAnsiTheme="majorHAnsi" w:cstheme="majorHAnsi"/>
                                <w:kern w:val="0"/>
                                <w:lang w:val="en-GB" w:eastAsia="en-GB"/>
                                <w14:ligatures w14:val="none"/>
                              </w:rPr>
                            </w:pPr>
                          </w:p>
                          <w:p w14:paraId="41A15BFA" w14:textId="77777777" w:rsidR="00CF3827" w:rsidRPr="00CF3827" w:rsidRDefault="00CF3827" w:rsidP="00CF3827">
                            <w:pPr>
                              <w:pBdr>
                                <w:top w:val="nil"/>
                                <w:left w:val="nil"/>
                                <w:bottom w:val="nil"/>
                                <w:right w:val="nil"/>
                                <w:between w:val="nil"/>
                              </w:pBdr>
                              <w:jc w:val="both"/>
                              <w:rPr>
                                <w:rFonts w:asciiTheme="majorHAnsi" w:eastAsia="Calibri" w:hAnsiTheme="majorHAnsi" w:cstheme="majorHAnsi"/>
                                <w:i/>
                                <w:color w:val="000000"/>
                                <w:kern w:val="0"/>
                                <w:lang w:val="en-GB" w:eastAsia="en-GB"/>
                                <w14:ligatures w14:val="none"/>
                              </w:rPr>
                            </w:pPr>
                            <w:r w:rsidRPr="00CF3827">
                              <w:rPr>
                                <w:rFonts w:asciiTheme="majorHAnsi" w:eastAsia="Calibri" w:hAnsiTheme="majorHAnsi" w:cstheme="majorHAnsi"/>
                                <w:i/>
                                <w:color w:val="000000"/>
                                <w:kern w:val="0"/>
                                <w:lang w:val="en-GB" w:eastAsia="en-GB"/>
                                <w14:ligatures w14:val="none"/>
                              </w:rPr>
                              <w:t>1. Every worker has the right to working conditions which respect his or her health, safety and dignity.</w:t>
                            </w:r>
                          </w:p>
                          <w:p w14:paraId="66525099" w14:textId="77777777" w:rsidR="00CF3827" w:rsidRPr="00CF3827" w:rsidRDefault="00CF3827" w:rsidP="00CF3827">
                            <w:pPr>
                              <w:pBdr>
                                <w:top w:val="nil"/>
                                <w:left w:val="nil"/>
                                <w:bottom w:val="nil"/>
                                <w:right w:val="nil"/>
                                <w:between w:val="nil"/>
                              </w:pBdr>
                              <w:jc w:val="both"/>
                              <w:rPr>
                                <w:rFonts w:asciiTheme="majorHAnsi" w:eastAsia="Calibri" w:hAnsiTheme="majorHAnsi" w:cstheme="majorHAnsi"/>
                                <w:i/>
                                <w:kern w:val="0"/>
                                <w:lang w:val="en-GB" w:eastAsia="en-GB"/>
                                <w14:ligatures w14:val="none"/>
                              </w:rPr>
                            </w:pPr>
                            <w:r w:rsidRPr="00CF3827">
                              <w:rPr>
                                <w:rFonts w:asciiTheme="majorHAnsi" w:eastAsia="Calibri" w:hAnsiTheme="majorHAnsi" w:cstheme="majorHAnsi"/>
                                <w:i/>
                                <w:kern w:val="0"/>
                                <w:lang w:val="en-GB" w:eastAsia="en-GB"/>
                                <w14:ligatures w14:val="none"/>
                              </w:rPr>
                              <w:t>2. Every worker has the right to limitation of maximum working hours, to daily and weekly rest periods and to an annual period of paid leave.”</w:t>
                            </w:r>
                          </w:p>
                          <w:p w14:paraId="3FB6F007" w14:textId="7EEAE20F" w:rsidR="009F095C" w:rsidRPr="00CF3827" w:rsidRDefault="009F095C" w:rsidP="007F47B5">
                            <w:pPr>
                              <w:rPr>
                                <w:rFonts w:asciiTheme="majorHAnsi" w:hAnsiTheme="majorHAnsi" w:cstheme="majorHAnsi"/>
                                <w:i/>
                                <w:iCs/>
                                <w:lang w:val="en-GB"/>
                              </w:rPr>
                            </w:pPr>
                          </w:p>
                          <w:p w14:paraId="7C427DAF" w14:textId="77777777" w:rsidR="009F095C" w:rsidRPr="00BA7FF3" w:rsidRDefault="009F095C" w:rsidP="009F09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27736D77" id="Zone de texte 2" o:spid="_x0000_s1026" style="position:absolute;margin-left:0;margin-top:45.55pt;width:423.7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" fillcolor="#d9e2f3 [660]" strokecolor="#d9e2f3 [660]">
                <v:stroke joinstyle="miter"/>
                <v:textbox style="mso-fit-shape-to-text:t">
                  <w:txbxContent>
                    <w:p w14:paraId="7C507F1B" w14:textId="5E55658D" w:rsidR="00CF3827" w:rsidRPr="00CF3827" w:rsidRDefault="00CF3827" w:rsidP="00CF3827">
                      <w:pPr>
                        <w:rPr>
                          <w:rFonts w:asciiTheme="majorHAnsi" w:eastAsia="Calibri" w:hAnsiTheme="majorHAnsi" w:cstheme="majorHAnsi"/>
                          <w:b/>
                          <w:i/>
                          <w:kern w:val="0"/>
                          <w:lang w:val="en-GB" w:eastAsia="en-GB"/>
                          <w14:ligatures w14:val="none"/>
                        </w:rPr>
                      </w:pPr>
                      <w:r w:rsidRPr="00CF3827">
                        <w:rPr>
                          <w:rFonts w:ascii="Calibri" w:eastAsia="Calibri" w:hAnsi="Calibri" w:cs="Calibri"/>
                          <w:b/>
                          <w:i/>
                          <w:kern w:val="0"/>
                          <w:lang w:val="en-GB" w:eastAsia="en-GB"/>
                          <w14:ligatures w14:val="none"/>
                        </w:rPr>
                        <w:t>“</w:t>
                      </w:r>
                      <w:r w:rsidRPr="00CF3827">
                        <w:rPr>
                          <w:rFonts w:asciiTheme="majorHAnsi" w:eastAsia="Calibri" w:hAnsiTheme="majorHAnsi" w:cstheme="majorHAnsi"/>
                          <w:b/>
                          <w:i/>
                          <w:kern w:val="0"/>
                          <w:lang w:val="en-GB" w:eastAsia="en-GB"/>
                          <w14:ligatures w14:val="none"/>
                        </w:rPr>
                        <w:t>Fair and just working conditions”.</w:t>
                      </w:r>
                    </w:p>
                    <w:p w14:paraId="37292C9D" w14:textId="77777777" w:rsidR="00CF3827" w:rsidRPr="00CF3827" w:rsidRDefault="00CF3827" w:rsidP="00CF3827">
                      <w:pPr>
                        <w:jc w:val="both"/>
                        <w:rPr>
                          <w:rFonts w:asciiTheme="majorHAnsi" w:eastAsia="Calibri" w:hAnsiTheme="majorHAnsi" w:cstheme="majorHAnsi"/>
                          <w:kern w:val="0"/>
                          <w:lang w:val="en-GB" w:eastAsia="en-GB"/>
                          <w14:ligatures w14:val="none"/>
                        </w:rPr>
                      </w:pPr>
                    </w:p>
                    <w:p w14:paraId="41A15BFA" w14:textId="77777777" w:rsidR="00CF3827" w:rsidRPr="00CF3827" w:rsidRDefault="00CF3827" w:rsidP="00CF3827">
                      <w:pPr>
                        <w:pBdr>
                          <w:top w:val="nil"/>
                          <w:left w:val="nil"/>
                          <w:bottom w:val="nil"/>
                          <w:right w:val="nil"/>
                          <w:between w:val="nil"/>
                        </w:pBdr>
                        <w:jc w:val="both"/>
                        <w:rPr>
                          <w:rFonts w:asciiTheme="majorHAnsi" w:eastAsia="Calibri" w:hAnsiTheme="majorHAnsi" w:cstheme="majorHAnsi"/>
                          <w:i/>
                          <w:color w:val="000000"/>
                          <w:kern w:val="0"/>
                          <w:lang w:val="en-GB" w:eastAsia="en-GB"/>
                          <w14:ligatures w14:val="none"/>
                        </w:rPr>
                      </w:pPr>
                      <w:r w:rsidRPr="00CF3827">
                        <w:rPr>
                          <w:rFonts w:asciiTheme="majorHAnsi" w:eastAsia="Calibri" w:hAnsiTheme="majorHAnsi" w:cstheme="majorHAnsi"/>
                          <w:i/>
                          <w:color w:val="000000"/>
                          <w:kern w:val="0"/>
                          <w:lang w:val="en-GB" w:eastAsia="en-GB"/>
                          <w14:ligatures w14:val="none"/>
                        </w:rPr>
                        <w:t>1. Every worker has the right to working conditions which respect his or her health, safety and dignity.</w:t>
                      </w:r>
                    </w:p>
                    <w:p w14:paraId="66525099" w14:textId="77777777" w:rsidR="00CF3827" w:rsidRPr="00CF3827" w:rsidRDefault="00CF3827" w:rsidP="00CF3827">
                      <w:pPr>
                        <w:pBdr>
                          <w:top w:val="nil"/>
                          <w:left w:val="nil"/>
                          <w:bottom w:val="nil"/>
                          <w:right w:val="nil"/>
                          <w:between w:val="nil"/>
                        </w:pBdr>
                        <w:jc w:val="both"/>
                        <w:rPr>
                          <w:rFonts w:asciiTheme="majorHAnsi" w:eastAsia="Calibri" w:hAnsiTheme="majorHAnsi" w:cstheme="majorHAnsi"/>
                          <w:i/>
                          <w:kern w:val="0"/>
                          <w:lang w:val="en-GB" w:eastAsia="en-GB"/>
                          <w14:ligatures w14:val="none"/>
                        </w:rPr>
                      </w:pPr>
                      <w:r w:rsidRPr="00CF3827">
                        <w:rPr>
                          <w:rFonts w:asciiTheme="majorHAnsi" w:eastAsia="Calibri" w:hAnsiTheme="majorHAnsi" w:cstheme="majorHAnsi"/>
                          <w:i/>
                          <w:kern w:val="0"/>
                          <w:lang w:val="en-GB" w:eastAsia="en-GB"/>
                          <w14:ligatures w14:val="none"/>
                        </w:rPr>
                        <w:t>2. Every worker has the right to limitation of maximum working hours, to daily and weekly rest periods and to an annual period of paid leave.”</w:t>
                      </w:r>
                    </w:p>
                    <w:p w14:paraId="3FB6F007" w14:textId="7EEAE20F" w:rsidR="009F095C" w:rsidRPr="00CF3827" w:rsidRDefault="009F095C" w:rsidP="007F47B5">
                      <w:pPr>
                        <w:rPr>
                          <w:rFonts w:asciiTheme="majorHAnsi" w:hAnsiTheme="majorHAnsi" w:cstheme="majorHAnsi"/>
                          <w:i/>
                          <w:iCs/>
                          <w:lang w:val="en-GB"/>
                        </w:rPr>
                      </w:pPr>
                    </w:p>
                    <w:p w14:paraId="7C427DAF" w14:textId="77777777" w:rsidR="009F095C" w:rsidRPr="00BA7FF3" w:rsidRDefault="009F095C" w:rsidP="009F095C"/>
                  </w:txbxContent>
                </v:textbox>
                <w10:wrap type="square" anchorx="margin"/>
              </v:roundrect>
            </w:pict>
          </mc:Fallback>
        </mc:AlternateContent>
      </w:r>
    </w:p>
    <w:tbl>
      <w:tblPr>
        <w:tblStyle w:val="Grilledutableau"/>
        <w:tblW w:w="0" w:type="auto"/>
        <w:tblLook w:val="04A0" w:firstRow="1" w:lastRow="0" w:firstColumn="1" w:lastColumn="0" w:noHBand="0" w:noVBand="1"/>
      </w:tblPr>
      <w:tblGrid>
        <w:gridCol w:w="8494"/>
      </w:tblGrid>
      <w:tr w:rsidR="00CA5340" w:rsidRPr="008E2D64" w14:paraId="6AD94D0E" w14:textId="77777777" w:rsidTr="00CA5340">
        <w:tc>
          <w:tcPr>
            <w:tcW w:w="8494" w:type="dxa"/>
          </w:tcPr>
          <w:p w14:paraId="7E53AB23" w14:textId="00D55ABB" w:rsidR="00CA5340" w:rsidRPr="009F095C" w:rsidRDefault="00CA5340">
            <w:pPr>
              <w:rPr>
                <w:rFonts w:ascii="Calibri" w:hAnsi="Calibri" w:cs="Calibri"/>
                <w:b/>
                <w:bCs/>
                <w:sz w:val="28"/>
                <w:szCs w:val="28"/>
                <w:lang w:val="en-US"/>
              </w:rPr>
            </w:pPr>
            <w:r w:rsidRPr="009F095C">
              <w:rPr>
                <w:b/>
                <w:bCs/>
                <w:color w:val="0070C0"/>
                <w:sz w:val="28"/>
                <w:szCs w:val="28"/>
                <w:lang w:val="en-US"/>
              </w:rPr>
              <w:t xml:space="preserve">Content and scope of the article </w:t>
            </w:r>
          </w:p>
        </w:tc>
      </w:tr>
      <w:tr w:rsidR="00CA5340" w:rsidRPr="008E2D64" w14:paraId="7247B80F" w14:textId="77777777" w:rsidTr="00CA5340">
        <w:tc>
          <w:tcPr>
            <w:tcW w:w="8494" w:type="dxa"/>
          </w:tcPr>
          <w:p w14:paraId="1B0DC2EC" w14:textId="77777777" w:rsidR="00CF3827" w:rsidRPr="00CF3827" w:rsidRDefault="00CF3827" w:rsidP="001B7850">
            <w:pPr>
              <w:jc w:val="both"/>
              <w:rPr>
                <w:lang w:val="en-US"/>
              </w:rPr>
            </w:pPr>
          </w:p>
          <w:p w14:paraId="79FB9CD1" w14:textId="77777777" w:rsidR="00CF3827" w:rsidRPr="00CF3827" w:rsidRDefault="00CF3827" w:rsidP="001B7850">
            <w:pPr>
              <w:jc w:val="both"/>
              <w:rPr>
                <w:lang w:val="en-US"/>
              </w:rPr>
            </w:pPr>
            <w:r w:rsidRPr="00CF3827">
              <w:rPr>
                <w:lang w:val="en-US"/>
              </w:rPr>
              <w:t>General:</w:t>
            </w:r>
          </w:p>
          <w:p w14:paraId="44BBE9E6" w14:textId="77777777" w:rsidR="00CF3827" w:rsidRPr="00CF3827" w:rsidRDefault="00CF3827" w:rsidP="001B7850">
            <w:pPr>
              <w:jc w:val="both"/>
              <w:rPr>
                <w:lang w:val="en-US"/>
              </w:rPr>
            </w:pPr>
            <w:r w:rsidRPr="00CF3827">
              <w:rPr>
                <w:lang w:val="en-US"/>
              </w:rPr>
              <w:t xml:space="preserve">Paragraph 1 of this Article is based on Directive 89/391/EEC which </w:t>
            </w:r>
            <w:proofErr w:type="gramStart"/>
            <w:r w:rsidRPr="00CF3827">
              <w:rPr>
                <w:lang w:val="en-US"/>
              </w:rPr>
              <w:t>introduces  measures</w:t>
            </w:r>
            <w:proofErr w:type="gramEnd"/>
            <w:r w:rsidRPr="00CF3827">
              <w:rPr>
                <w:lang w:val="en-US"/>
              </w:rPr>
              <w:t xml:space="preserve"> to encourage improvements in the safety and health of workers at the workplace. It also draws upon the Social </w:t>
            </w:r>
            <w:proofErr w:type="gramStart"/>
            <w:r w:rsidRPr="00CF3827">
              <w:rPr>
                <w:lang w:val="en-US"/>
              </w:rPr>
              <w:t>Charter,  the</w:t>
            </w:r>
            <w:proofErr w:type="gramEnd"/>
            <w:r w:rsidRPr="00CF3827">
              <w:rPr>
                <w:lang w:val="en-US"/>
              </w:rPr>
              <w:t xml:space="preserve"> Community Charter on the rights of workers, and, with regards to dignity at work, the revised Social Charter. The term “working </w:t>
            </w:r>
            <w:proofErr w:type="gramStart"/>
            <w:r w:rsidRPr="00CF3827">
              <w:rPr>
                <w:lang w:val="en-US"/>
              </w:rPr>
              <w:t>conditions”  should</w:t>
            </w:r>
            <w:proofErr w:type="gramEnd"/>
            <w:r w:rsidRPr="00CF3827">
              <w:rPr>
                <w:lang w:val="en-US"/>
              </w:rPr>
              <w:t xml:space="preserve"> be understood in the context of Article 156 of the Treaty on the Functioning of the European Union.</w:t>
            </w:r>
          </w:p>
          <w:p w14:paraId="7808ECA6" w14:textId="77777777" w:rsidR="00CF3827" w:rsidRPr="00CF3827" w:rsidRDefault="00CF3827" w:rsidP="001B7850">
            <w:pPr>
              <w:jc w:val="both"/>
              <w:rPr>
                <w:lang w:val="en-US"/>
              </w:rPr>
            </w:pPr>
          </w:p>
          <w:p w14:paraId="096BA32E" w14:textId="77777777" w:rsidR="00CF3827" w:rsidRPr="00CF3827" w:rsidRDefault="00CF3827" w:rsidP="001B7850">
            <w:pPr>
              <w:jc w:val="both"/>
              <w:rPr>
                <w:lang w:val="en-US"/>
              </w:rPr>
            </w:pPr>
            <w:r w:rsidRPr="00CF3827">
              <w:rPr>
                <w:lang w:val="en-US"/>
              </w:rPr>
              <w:t xml:space="preserve">Paragraph 2 is based on Directive 93/104/EC concerning certain aspects of the </w:t>
            </w:r>
            <w:proofErr w:type="spellStart"/>
            <w:r w:rsidRPr="00CF3827">
              <w:rPr>
                <w:lang w:val="en-US"/>
              </w:rPr>
              <w:t>organisation</w:t>
            </w:r>
            <w:proofErr w:type="spellEnd"/>
            <w:r w:rsidRPr="00CF3827">
              <w:rPr>
                <w:lang w:val="en-US"/>
              </w:rPr>
              <w:t xml:space="preserve"> of working time, the European Social Charter and the Community Charter on the rights of workers.</w:t>
            </w:r>
          </w:p>
          <w:p w14:paraId="015FCD64" w14:textId="77777777" w:rsidR="00CF3827" w:rsidRPr="00CF3827" w:rsidRDefault="00CF3827" w:rsidP="001B7850">
            <w:pPr>
              <w:jc w:val="both"/>
              <w:rPr>
                <w:lang w:val="en-US"/>
              </w:rPr>
            </w:pPr>
          </w:p>
          <w:p w14:paraId="53573936" w14:textId="77777777" w:rsidR="00CF3827" w:rsidRPr="00CF3827" w:rsidRDefault="00CF3827" w:rsidP="001B7850">
            <w:pPr>
              <w:jc w:val="both"/>
              <w:rPr>
                <w:lang w:val="en-US"/>
              </w:rPr>
            </w:pPr>
            <w:r w:rsidRPr="00CF3827">
              <w:rPr>
                <w:lang w:val="en-US"/>
              </w:rPr>
              <w:t xml:space="preserve">Organisation of working </w:t>
            </w:r>
            <w:proofErr w:type="gramStart"/>
            <w:r w:rsidRPr="00CF3827">
              <w:rPr>
                <w:lang w:val="en-US"/>
              </w:rPr>
              <w:t>time</w:t>
            </w:r>
            <w:proofErr w:type="gramEnd"/>
            <w:r w:rsidRPr="00CF3827">
              <w:rPr>
                <w:lang w:val="en-US"/>
              </w:rPr>
              <w:t>:</w:t>
            </w:r>
          </w:p>
          <w:p w14:paraId="543ABC30" w14:textId="77777777" w:rsidR="00CF3827" w:rsidRPr="00CF3827" w:rsidRDefault="00CF3827" w:rsidP="001B7850">
            <w:pPr>
              <w:jc w:val="both"/>
              <w:rPr>
                <w:lang w:val="en-US"/>
              </w:rPr>
            </w:pPr>
            <w:r w:rsidRPr="00CF3827">
              <w:rPr>
                <w:lang w:val="en-US"/>
              </w:rPr>
              <w:t xml:space="preserve">By establishing the right of every worker to daily and weekly rest periods, Directive 2003/88 concretely implements the fundamental right expressly enshrined in Article 31(2) of the Charter. Consequently, Directive 2003/88 must be interpreted in the light of Article 31(2), and its provisions cannot be interpreted restrictively to the detriment of the rights that workers derive from it. </w:t>
            </w:r>
          </w:p>
          <w:p w14:paraId="6C524E22" w14:textId="77777777" w:rsidR="00CF3827" w:rsidRPr="00CF3827" w:rsidRDefault="00CF3827" w:rsidP="001B7850">
            <w:pPr>
              <w:jc w:val="both"/>
              <w:rPr>
                <w:lang w:val="en-US"/>
              </w:rPr>
            </w:pPr>
          </w:p>
          <w:p w14:paraId="2C8C603E" w14:textId="77777777" w:rsidR="00CF3827" w:rsidRPr="00CF3827" w:rsidRDefault="00CF3827" w:rsidP="001B7850">
            <w:pPr>
              <w:jc w:val="both"/>
              <w:rPr>
                <w:lang w:val="en-US"/>
              </w:rPr>
            </w:pPr>
            <w:r w:rsidRPr="00CF3827">
              <w:rPr>
                <w:lang w:val="en-US"/>
              </w:rPr>
              <w:t xml:space="preserve">It should also be recalled that the worker is in a weaker position in the employment relationship. Therefore, measures must be in place to prevent the employer from being in a position to impose a </w:t>
            </w:r>
            <w:proofErr w:type="gramStart"/>
            <w:r w:rsidRPr="00CF3827">
              <w:rPr>
                <w:lang w:val="en-US"/>
              </w:rPr>
              <w:t>restrictions</w:t>
            </w:r>
            <w:proofErr w:type="gramEnd"/>
            <w:r w:rsidRPr="00CF3827">
              <w:rPr>
                <w:lang w:val="en-US"/>
              </w:rPr>
              <w:t xml:space="preserve"> on workers’ rights and exploit the power hierarchy at </w:t>
            </w:r>
            <w:proofErr w:type="gramStart"/>
            <w:r w:rsidRPr="00CF3827">
              <w:rPr>
                <w:lang w:val="en-US"/>
              </w:rPr>
              <w:t>paly</w:t>
            </w:r>
            <w:proofErr w:type="gramEnd"/>
            <w:r w:rsidRPr="00CF3827">
              <w:rPr>
                <w:lang w:val="en-US"/>
              </w:rPr>
              <w:t xml:space="preserve"> in this relationship. </w:t>
            </w:r>
          </w:p>
          <w:p w14:paraId="205507F6" w14:textId="77777777" w:rsidR="00CF3827" w:rsidRPr="00CF3827" w:rsidRDefault="00CF3827" w:rsidP="001B7850">
            <w:pPr>
              <w:jc w:val="both"/>
              <w:rPr>
                <w:lang w:val="en-US"/>
              </w:rPr>
            </w:pPr>
          </w:p>
          <w:p w14:paraId="791F2F3F" w14:textId="77777777" w:rsidR="00CF3827" w:rsidRPr="00CF3827" w:rsidRDefault="00CF3827" w:rsidP="001B7850">
            <w:pPr>
              <w:jc w:val="both"/>
              <w:rPr>
                <w:lang w:val="en-US"/>
              </w:rPr>
            </w:pPr>
            <w:r w:rsidRPr="00CF3827">
              <w:rPr>
                <w:lang w:val="en-US"/>
              </w:rPr>
              <w:t xml:space="preserve">Furthermore, while a Member State </w:t>
            </w:r>
            <w:proofErr w:type="gramStart"/>
            <w:r w:rsidRPr="00CF3827">
              <w:rPr>
                <w:lang w:val="en-US"/>
              </w:rPr>
              <w:t>may  lay</w:t>
            </w:r>
            <w:proofErr w:type="gramEnd"/>
            <w:r w:rsidRPr="00CF3827">
              <w:rPr>
                <w:lang w:val="en-US"/>
              </w:rPr>
              <w:t xml:space="preserve"> down more </w:t>
            </w:r>
            <w:proofErr w:type="spellStart"/>
            <w:r w:rsidRPr="00CF3827">
              <w:rPr>
                <w:lang w:val="en-US"/>
              </w:rPr>
              <w:t>favourable</w:t>
            </w:r>
            <w:proofErr w:type="spellEnd"/>
            <w:r w:rsidRPr="00CF3827">
              <w:rPr>
                <w:lang w:val="en-US"/>
              </w:rPr>
              <w:t xml:space="preserve"> provisions  concerning the weekly rest period than those required as a minimum threshold by Directive 2003/88, this cannot deprive the worker of other rights conferred by the Directive,  particularly the right to daily rest.</w:t>
            </w:r>
          </w:p>
          <w:p w14:paraId="3C647DA5" w14:textId="77777777" w:rsidR="00CF3827" w:rsidRPr="00CF3827" w:rsidRDefault="00CF3827" w:rsidP="001B7850">
            <w:pPr>
              <w:jc w:val="both"/>
              <w:rPr>
                <w:lang w:val="en-US"/>
              </w:rPr>
            </w:pPr>
          </w:p>
          <w:p w14:paraId="76350339" w14:textId="77777777" w:rsidR="00CF3827" w:rsidRPr="00CF3827" w:rsidRDefault="00CF3827" w:rsidP="001B7850">
            <w:pPr>
              <w:jc w:val="both"/>
              <w:rPr>
                <w:lang w:val="en-US"/>
              </w:rPr>
            </w:pPr>
            <w:r w:rsidRPr="00CF3827">
              <w:rPr>
                <w:lang w:val="en-US"/>
              </w:rPr>
              <w:t xml:space="preserve">The purpose of Directive 2003/88 is to lay down minimum requirements intended to improve workers’ living and working conditions by </w:t>
            </w:r>
            <w:proofErr w:type="spellStart"/>
            <w:r w:rsidRPr="00CF3827">
              <w:rPr>
                <w:lang w:val="en-US"/>
              </w:rPr>
              <w:t>harmonising</w:t>
            </w:r>
            <w:proofErr w:type="spellEnd"/>
            <w:r w:rsidRPr="00CF3827">
              <w:rPr>
                <w:lang w:val="en-US"/>
              </w:rPr>
              <w:t xml:space="preserve"> national rules </w:t>
            </w:r>
            <w:r w:rsidRPr="00CF3827">
              <w:rPr>
                <w:lang w:val="en-US"/>
              </w:rPr>
              <w:lastRenderedPageBreak/>
              <w:t xml:space="preserve">particularly regarding the working hours. These minimum requirements are key rules of EU social law, from which all </w:t>
            </w:r>
            <w:proofErr w:type="gramStart"/>
            <w:r w:rsidRPr="00CF3827">
              <w:rPr>
                <w:lang w:val="en-US"/>
              </w:rPr>
              <w:t>worker</w:t>
            </w:r>
            <w:proofErr w:type="gramEnd"/>
            <w:r w:rsidRPr="00CF3827">
              <w:rPr>
                <w:lang w:val="en-US"/>
              </w:rPr>
              <w:t xml:space="preserve"> must benefit. </w:t>
            </w:r>
          </w:p>
          <w:p w14:paraId="6AC98B34" w14:textId="77777777" w:rsidR="00CF3827" w:rsidRPr="00CF3827" w:rsidRDefault="00CF3827" w:rsidP="001B7850">
            <w:pPr>
              <w:jc w:val="both"/>
              <w:rPr>
                <w:lang w:val="en-US"/>
              </w:rPr>
            </w:pPr>
          </w:p>
          <w:p w14:paraId="50EE4080" w14:textId="77777777" w:rsidR="00CF3827" w:rsidRPr="00CF3827" w:rsidRDefault="00CF3827" w:rsidP="001B7850">
            <w:pPr>
              <w:jc w:val="both"/>
              <w:rPr>
                <w:lang w:val="en-US"/>
              </w:rPr>
            </w:pPr>
            <w:r w:rsidRPr="00CF3827">
              <w:rPr>
                <w:lang w:val="en-US"/>
              </w:rPr>
              <w:t xml:space="preserve">Paid annual leave: </w:t>
            </w:r>
          </w:p>
          <w:p w14:paraId="5F2D5D05" w14:textId="77777777" w:rsidR="00CF3827" w:rsidRPr="00CF3827" w:rsidRDefault="00CF3827" w:rsidP="001B7850">
            <w:pPr>
              <w:jc w:val="both"/>
              <w:rPr>
                <w:lang w:val="en-US"/>
              </w:rPr>
            </w:pPr>
            <w:r w:rsidRPr="00CF3827">
              <w:rPr>
                <w:lang w:val="en-US"/>
              </w:rPr>
              <w:t xml:space="preserve">According to the settled case-law of CJEU, the right to be paid annual leave must be regarded as a particularly important principle of EU social law from which there may be no </w:t>
            </w:r>
            <w:proofErr w:type="gramStart"/>
            <w:r w:rsidRPr="00CF3827">
              <w:rPr>
                <w:lang w:val="en-US"/>
              </w:rPr>
              <w:t>derogations</w:t>
            </w:r>
            <w:proofErr w:type="gramEnd"/>
            <w:r w:rsidRPr="00CF3827">
              <w:rPr>
                <w:lang w:val="en-US"/>
              </w:rPr>
              <w:t xml:space="preserve"> and whose implementation by the competent national authorities must be confined within the limits expressly laid down by Directive 2003/88.</w:t>
            </w:r>
          </w:p>
          <w:p w14:paraId="6A565F95" w14:textId="77777777" w:rsidR="00CF3827" w:rsidRPr="00CF3827" w:rsidRDefault="00CF3827" w:rsidP="001B7850">
            <w:pPr>
              <w:jc w:val="both"/>
              <w:rPr>
                <w:lang w:val="en-US"/>
              </w:rPr>
            </w:pPr>
          </w:p>
          <w:p w14:paraId="0E9DBE02" w14:textId="77777777" w:rsidR="00CF3827" w:rsidRPr="00CF3827" w:rsidRDefault="00CF3827" w:rsidP="001B7850">
            <w:pPr>
              <w:jc w:val="both"/>
              <w:rPr>
                <w:lang w:val="en-US"/>
              </w:rPr>
            </w:pPr>
            <w:r w:rsidRPr="00CF3827">
              <w:rPr>
                <w:lang w:val="en-US"/>
              </w:rPr>
              <w:t xml:space="preserve">Article 7(1) of Directive 2003/88 requires Member States to take the necessary </w:t>
            </w:r>
            <w:proofErr w:type="gramStart"/>
            <w:r w:rsidRPr="00CF3827">
              <w:rPr>
                <w:lang w:val="en-US"/>
              </w:rPr>
              <w:t>measures  to</w:t>
            </w:r>
            <w:proofErr w:type="gramEnd"/>
            <w:r w:rsidRPr="00CF3827">
              <w:rPr>
                <w:lang w:val="en-US"/>
              </w:rPr>
              <w:t xml:space="preserve"> ensure that every worker is entitled to at least four weeks of paid annual leave, under the conditions defined  by national legislation and/or practice. This provision reflects and gives effect to the fundamental right </w:t>
            </w:r>
            <w:proofErr w:type="gramStart"/>
            <w:r w:rsidRPr="00CF3827">
              <w:rPr>
                <w:lang w:val="en-US"/>
              </w:rPr>
              <w:t>to  paid</w:t>
            </w:r>
            <w:proofErr w:type="gramEnd"/>
            <w:r w:rsidRPr="00CF3827">
              <w:rPr>
                <w:lang w:val="en-US"/>
              </w:rPr>
              <w:t xml:space="preserve"> annual leave, as enshrined in Article 31(2) of the Charter, which is </w:t>
            </w:r>
            <w:proofErr w:type="spellStart"/>
            <w:r w:rsidRPr="00CF3827">
              <w:rPr>
                <w:lang w:val="en-US"/>
              </w:rPr>
              <w:t>recognised</w:t>
            </w:r>
            <w:proofErr w:type="spellEnd"/>
            <w:r w:rsidRPr="00CF3827">
              <w:rPr>
                <w:lang w:val="en-US"/>
              </w:rPr>
              <w:t xml:space="preserve"> by Article 6(1) TEU as having the same legal value as the Treaties.</w:t>
            </w:r>
          </w:p>
          <w:p w14:paraId="548F1543" w14:textId="77777777" w:rsidR="00CF3827" w:rsidRPr="00CF3827" w:rsidRDefault="00CF3827" w:rsidP="001B7850">
            <w:pPr>
              <w:jc w:val="both"/>
              <w:rPr>
                <w:lang w:val="en-US"/>
              </w:rPr>
            </w:pPr>
          </w:p>
          <w:p w14:paraId="102F9092" w14:textId="77777777" w:rsidR="00CF3827" w:rsidRPr="00CF3827" w:rsidRDefault="00CF3827" w:rsidP="001B7850">
            <w:pPr>
              <w:jc w:val="both"/>
              <w:rPr>
                <w:lang w:val="en-US"/>
              </w:rPr>
            </w:pPr>
            <w:r w:rsidRPr="00CF3827">
              <w:rPr>
                <w:lang w:val="en-US"/>
              </w:rPr>
              <w:t>The Court has held, in that context, that the right to paid annual leave cannot be interpreted restrictively.</w:t>
            </w:r>
          </w:p>
          <w:p w14:paraId="0BC9F3BB" w14:textId="77777777" w:rsidR="00CF3827" w:rsidRPr="00CF3827" w:rsidRDefault="00CF3827" w:rsidP="001B7850">
            <w:pPr>
              <w:jc w:val="both"/>
              <w:rPr>
                <w:lang w:val="en-US"/>
              </w:rPr>
            </w:pPr>
          </w:p>
          <w:p w14:paraId="5D97F35F" w14:textId="77777777" w:rsidR="00CF3827" w:rsidRPr="00CF3827" w:rsidRDefault="00CF3827" w:rsidP="001B7850">
            <w:pPr>
              <w:jc w:val="both"/>
              <w:rPr>
                <w:lang w:val="en-US"/>
              </w:rPr>
            </w:pPr>
            <w:r w:rsidRPr="00CF3827">
              <w:rPr>
                <w:lang w:val="en-US"/>
              </w:rPr>
              <w:t xml:space="preserve">In certain specific situations where a worker is unable to perform their duties, the right to be paid annual leave cannot be conditioned by a Member State on the worker having </w:t>
            </w:r>
            <w:proofErr w:type="gramStart"/>
            <w:r w:rsidRPr="00CF3827">
              <w:rPr>
                <w:lang w:val="en-US"/>
              </w:rPr>
              <w:t>actually worked</w:t>
            </w:r>
            <w:proofErr w:type="gramEnd"/>
            <w:r w:rsidRPr="00CF3827">
              <w:rPr>
                <w:lang w:val="en-US"/>
              </w:rPr>
              <w:t xml:space="preserve">. The same applies, in particular, </w:t>
            </w:r>
            <w:proofErr w:type="gramStart"/>
            <w:r w:rsidRPr="00CF3827">
              <w:rPr>
                <w:lang w:val="en-US"/>
              </w:rPr>
              <w:t>with regard to</w:t>
            </w:r>
            <w:proofErr w:type="gramEnd"/>
            <w:r w:rsidRPr="00CF3827">
              <w:rPr>
                <w:lang w:val="en-US"/>
              </w:rPr>
              <w:t xml:space="preserve"> workers who are absent from work on sick leave during the reference period. As established by the Court’s case law, workers who are absent from work on sick leave during the reference period should be treated in the same way as those who have worked during that period, with respect to their entitlement to paid annual leave.</w:t>
            </w:r>
          </w:p>
          <w:p w14:paraId="29606452" w14:textId="77777777" w:rsidR="00CF3827" w:rsidRPr="00CF3827" w:rsidRDefault="00CF3827" w:rsidP="001B7850">
            <w:pPr>
              <w:jc w:val="both"/>
              <w:rPr>
                <w:lang w:val="en-US"/>
              </w:rPr>
            </w:pPr>
            <w:r w:rsidRPr="00CF3827">
              <w:rPr>
                <w:lang w:val="en-US"/>
              </w:rPr>
              <w:t xml:space="preserve"> </w:t>
            </w:r>
          </w:p>
          <w:p w14:paraId="71F56B56" w14:textId="77777777" w:rsidR="00CF3827" w:rsidRPr="00CF3827" w:rsidRDefault="00CF3827" w:rsidP="001B7850">
            <w:pPr>
              <w:jc w:val="both"/>
              <w:rPr>
                <w:lang w:val="en-US"/>
              </w:rPr>
            </w:pPr>
            <w:r w:rsidRPr="00CF3827">
              <w:rPr>
                <w:lang w:val="en-US"/>
              </w:rPr>
              <w:t>The right to annual leave is one of the two aspects of the broader right to paid annual leave as a fundamental principle of EU social law. This fundamental right also includes, as an integral part of the entitlement to “paid” annual leave, the right to receive an allowance in lieu of annual leave not taken upon the termination of the employment relationship. In that respect, the reason for the termination is not relevant.</w:t>
            </w:r>
          </w:p>
          <w:p w14:paraId="6F23C25E" w14:textId="77777777" w:rsidR="00CF3827" w:rsidRPr="00CF3827" w:rsidRDefault="00CF3827" w:rsidP="001B7850">
            <w:pPr>
              <w:jc w:val="both"/>
              <w:rPr>
                <w:lang w:val="en-US"/>
              </w:rPr>
            </w:pPr>
          </w:p>
          <w:p w14:paraId="49E4815D" w14:textId="77777777" w:rsidR="00CF3827" w:rsidRPr="00CF3827" w:rsidRDefault="00CF3827" w:rsidP="001B7850">
            <w:pPr>
              <w:jc w:val="both"/>
              <w:rPr>
                <w:lang w:val="en-US"/>
              </w:rPr>
            </w:pPr>
            <w:r w:rsidRPr="00CF3827">
              <w:rPr>
                <w:lang w:val="en-US"/>
              </w:rPr>
              <w:t xml:space="preserve">Article 7(1) of Directive 2003/88 does not, in principle, preclude national legislation from establishing conditions for the exercise of the right to paid annual leave, as expressly conferred by the Directive. This may include provisions that result in the loss of the right at the end of a leave year or of a carry-over period, provided, however, that the worker has had the opportunity to exercise the right granted under the Directive. </w:t>
            </w:r>
          </w:p>
          <w:p w14:paraId="5E43B84E" w14:textId="77777777" w:rsidR="00CF3827" w:rsidRPr="00CF3827" w:rsidRDefault="00CF3827" w:rsidP="001B7850">
            <w:pPr>
              <w:jc w:val="both"/>
              <w:rPr>
                <w:lang w:val="en-US"/>
              </w:rPr>
            </w:pPr>
            <w:r w:rsidRPr="00CF3827">
              <w:rPr>
                <w:lang w:val="en-US"/>
              </w:rPr>
              <w:t xml:space="preserve">This applies even where the employment relationship is subsequently terminated, as long </w:t>
            </w:r>
            <w:proofErr w:type="gramStart"/>
            <w:r w:rsidRPr="00CF3827">
              <w:rPr>
                <w:lang w:val="en-US"/>
              </w:rPr>
              <w:t>as  the</w:t>
            </w:r>
            <w:proofErr w:type="gramEnd"/>
            <w:r w:rsidRPr="00CF3827">
              <w:rPr>
                <w:lang w:val="en-US"/>
              </w:rPr>
              <w:t xml:space="preserve"> worker has had the opportunity to exercise the </w:t>
            </w:r>
            <w:proofErr w:type="gramStart"/>
            <w:r w:rsidRPr="00CF3827">
              <w:rPr>
                <w:lang w:val="en-US"/>
              </w:rPr>
              <w:t>right</w:t>
            </w:r>
            <w:proofErr w:type="gramEnd"/>
            <w:r w:rsidRPr="00CF3827">
              <w:rPr>
                <w:lang w:val="en-US"/>
              </w:rPr>
              <w:t xml:space="preserve"> conferred by the Directive.</w:t>
            </w:r>
          </w:p>
          <w:p w14:paraId="67027B46" w14:textId="77777777" w:rsidR="00CF3827" w:rsidRPr="00CF3827" w:rsidRDefault="00CF3827" w:rsidP="001B7850">
            <w:pPr>
              <w:jc w:val="both"/>
              <w:rPr>
                <w:lang w:val="en-US"/>
              </w:rPr>
            </w:pPr>
          </w:p>
          <w:p w14:paraId="65401EB2" w14:textId="77777777" w:rsidR="00CF3827" w:rsidRPr="00CF3827" w:rsidRDefault="00CF3827" w:rsidP="001B7850">
            <w:pPr>
              <w:jc w:val="both"/>
              <w:rPr>
                <w:lang w:val="en-US"/>
              </w:rPr>
            </w:pPr>
            <w:r w:rsidRPr="00CF3827">
              <w:rPr>
                <w:lang w:val="en-US"/>
              </w:rPr>
              <w:t xml:space="preserve">However, where the worker has refrained from taking paid annual leave deliberately and in full knowledge of the ensuing consequences, after having been given the opportunity to actually </w:t>
            </w:r>
            <w:proofErr w:type="gramStart"/>
            <w:r w:rsidRPr="00CF3827">
              <w:rPr>
                <w:lang w:val="en-US"/>
              </w:rPr>
              <w:t>to  their</w:t>
            </w:r>
            <w:proofErr w:type="gramEnd"/>
            <w:r w:rsidRPr="00CF3827">
              <w:rPr>
                <w:lang w:val="en-US"/>
              </w:rPr>
              <w:t xml:space="preserve"> right thereto, Article 31(2) of the Charter does not prevent the loss of that right.  In the event of the termination of the employment relationship, this may also mean that no allowance in lieu of the unused paid annual </w:t>
            </w:r>
            <w:r w:rsidRPr="00CF3827">
              <w:rPr>
                <w:lang w:val="en-US"/>
              </w:rPr>
              <w:lastRenderedPageBreak/>
              <w:t xml:space="preserve">leave is required, without the employer being obligated to force the worker to </w:t>
            </w:r>
            <w:proofErr w:type="gramStart"/>
            <w:r w:rsidRPr="00CF3827">
              <w:rPr>
                <w:lang w:val="en-US"/>
              </w:rPr>
              <w:t>actually exercise</w:t>
            </w:r>
            <w:proofErr w:type="gramEnd"/>
            <w:r w:rsidRPr="00CF3827">
              <w:rPr>
                <w:lang w:val="en-US"/>
              </w:rPr>
              <w:t xml:space="preserve"> that right and take the leave. </w:t>
            </w:r>
          </w:p>
          <w:p w14:paraId="67E66C93" w14:textId="77777777" w:rsidR="00CF3827" w:rsidRPr="00CF3827" w:rsidRDefault="00CF3827" w:rsidP="001B7850">
            <w:pPr>
              <w:jc w:val="both"/>
              <w:rPr>
                <w:lang w:val="en-US"/>
              </w:rPr>
            </w:pPr>
          </w:p>
          <w:p w14:paraId="2D6E0F25" w14:textId="0ECFC134" w:rsidR="00AF1C04" w:rsidRPr="00CF3827" w:rsidRDefault="00AF1C04" w:rsidP="001B7850">
            <w:pPr>
              <w:jc w:val="both"/>
              <w:rPr>
                <w:rFonts w:ascii="Calibri" w:hAnsi="Calibri" w:cs="Calibri"/>
                <w:lang w:val="en-US"/>
              </w:rPr>
            </w:pPr>
          </w:p>
        </w:tc>
      </w:tr>
      <w:tr w:rsidR="00CA5340" w:rsidRPr="008E2D64" w14:paraId="1FD718D0" w14:textId="77777777" w:rsidTr="00CA5340">
        <w:tc>
          <w:tcPr>
            <w:tcW w:w="8494" w:type="dxa"/>
          </w:tcPr>
          <w:p w14:paraId="4BB5FDD1" w14:textId="49FEFAE4" w:rsidR="00CA5340" w:rsidRPr="009F095C" w:rsidRDefault="009F095C" w:rsidP="001B7850">
            <w:pPr>
              <w:jc w:val="both"/>
              <w:rPr>
                <w:rFonts w:ascii="Calibri" w:hAnsi="Calibri" w:cs="Calibri"/>
                <w:sz w:val="28"/>
                <w:szCs w:val="28"/>
                <w:lang w:val="en-US"/>
              </w:rPr>
            </w:pPr>
            <w:r w:rsidRPr="009F095C">
              <w:rPr>
                <w:b/>
                <w:bCs/>
                <w:color w:val="0070C0"/>
                <w:sz w:val="28"/>
                <w:szCs w:val="28"/>
                <w:lang w:val="en-US"/>
              </w:rPr>
              <w:lastRenderedPageBreak/>
              <w:t>CJEU C</w:t>
            </w:r>
            <w:r w:rsidR="00CA5340" w:rsidRPr="009F095C">
              <w:rPr>
                <w:b/>
                <w:bCs/>
                <w:color w:val="0070C0"/>
                <w:sz w:val="28"/>
                <w:szCs w:val="28"/>
                <w:lang w:val="en-US"/>
              </w:rPr>
              <w:t xml:space="preserve">ase </w:t>
            </w:r>
            <w:r w:rsidRPr="009F095C">
              <w:rPr>
                <w:b/>
                <w:bCs/>
                <w:color w:val="0070C0"/>
                <w:sz w:val="28"/>
                <w:szCs w:val="28"/>
                <w:lang w:val="en-US"/>
              </w:rPr>
              <w:t>L</w:t>
            </w:r>
            <w:r w:rsidR="00CA5340" w:rsidRPr="009F095C">
              <w:rPr>
                <w:b/>
                <w:bCs/>
                <w:color w:val="0070C0"/>
                <w:sz w:val="28"/>
                <w:szCs w:val="28"/>
                <w:lang w:val="en-US"/>
              </w:rPr>
              <w:t>aw</w:t>
            </w:r>
          </w:p>
        </w:tc>
      </w:tr>
      <w:tr w:rsidR="00CF3827" w:rsidRPr="008E2D64" w14:paraId="35FB37BC" w14:textId="77777777" w:rsidTr="00CA5340">
        <w:tc>
          <w:tcPr>
            <w:tcW w:w="8494" w:type="dxa"/>
          </w:tcPr>
          <w:p w14:paraId="298AF155" w14:textId="77777777" w:rsidR="00CF3827" w:rsidRPr="00603F76" w:rsidRDefault="00CF3827" w:rsidP="001B7850">
            <w:pPr>
              <w:pBdr>
                <w:top w:val="nil"/>
                <w:left w:val="nil"/>
                <w:bottom w:val="nil"/>
                <w:right w:val="nil"/>
                <w:between w:val="nil"/>
              </w:pBdr>
              <w:jc w:val="both"/>
              <w:rPr>
                <w:rFonts w:asciiTheme="majorHAnsi" w:hAnsiTheme="majorHAnsi" w:cstheme="majorHAnsi"/>
                <w:b/>
                <w:bCs/>
                <w:lang w:val="it-IT"/>
              </w:rPr>
            </w:pPr>
            <w:r w:rsidRPr="00603F76">
              <w:rPr>
                <w:rFonts w:asciiTheme="majorHAnsi" w:hAnsiTheme="majorHAnsi" w:cstheme="majorHAnsi"/>
                <w:b/>
                <w:bCs/>
                <w:color w:val="000000"/>
                <w:lang w:val="it-IT"/>
              </w:rPr>
              <w:t xml:space="preserve">ECJ, Grd. Ch., C-218/22, 18/01/2024, </w:t>
            </w:r>
            <w:r w:rsidRPr="00603F76">
              <w:rPr>
                <w:rFonts w:asciiTheme="majorHAnsi" w:hAnsiTheme="majorHAnsi" w:cstheme="majorHAnsi"/>
                <w:b/>
                <w:bCs/>
                <w:i/>
                <w:iCs/>
                <w:color w:val="000000"/>
                <w:lang w:val="it-IT"/>
              </w:rPr>
              <w:t>BU v Commune Di Copertino</w:t>
            </w:r>
          </w:p>
          <w:p w14:paraId="5259212B" w14:textId="77777777" w:rsidR="00CF3827" w:rsidRPr="00603F76" w:rsidRDefault="00CF3827" w:rsidP="001B7850">
            <w:pPr>
              <w:jc w:val="both"/>
              <w:rPr>
                <w:rFonts w:asciiTheme="majorHAnsi" w:hAnsiTheme="majorHAnsi" w:cstheme="majorHAnsi"/>
                <w:i/>
              </w:rPr>
            </w:pPr>
            <w:proofErr w:type="spellStart"/>
            <w:r w:rsidRPr="00603F76">
              <w:rPr>
                <w:rFonts w:asciiTheme="majorHAnsi" w:hAnsiTheme="majorHAnsi" w:cstheme="majorHAnsi"/>
                <w:i/>
              </w:rPr>
              <w:t>Keywords</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Protection</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the</w:t>
            </w:r>
            <w:proofErr w:type="spellEnd"/>
            <w:r w:rsidRPr="00603F76">
              <w:rPr>
                <w:rFonts w:asciiTheme="majorHAnsi" w:hAnsiTheme="majorHAnsi" w:cstheme="majorHAnsi"/>
                <w:i/>
              </w:rPr>
              <w:t xml:space="preserve"> safety and </w:t>
            </w:r>
            <w:proofErr w:type="spellStart"/>
            <w:r w:rsidRPr="00603F76">
              <w:rPr>
                <w:rFonts w:asciiTheme="majorHAnsi" w:hAnsiTheme="majorHAnsi" w:cstheme="majorHAnsi"/>
                <w:i/>
              </w:rPr>
              <w:t>health</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workers</w:t>
            </w:r>
            <w:proofErr w:type="spellEnd"/>
            <w:r w:rsidRPr="00603F76">
              <w:rPr>
                <w:rFonts w:asciiTheme="majorHAnsi" w:hAnsiTheme="majorHAnsi" w:cstheme="majorHAnsi"/>
                <w:i/>
              </w:rPr>
              <w:t xml:space="preserve"> - </w:t>
            </w:r>
            <w:proofErr w:type="spellStart"/>
            <w:r w:rsidRPr="00603F76">
              <w:rPr>
                <w:rFonts w:asciiTheme="majorHAnsi" w:hAnsiTheme="majorHAnsi" w:cstheme="majorHAnsi"/>
                <w:i/>
              </w:rPr>
              <w:t>paid</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annual</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leave</w:t>
            </w:r>
            <w:proofErr w:type="spellEnd"/>
            <w:r w:rsidRPr="00603F76">
              <w:rPr>
                <w:rFonts w:asciiTheme="majorHAnsi" w:hAnsiTheme="majorHAnsi" w:cstheme="majorHAnsi"/>
                <w:i/>
              </w:rPr>
              <w:t xml:space="preserve"> in case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termination</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employment</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contract</w:t>
            </w:r>
            <w:proofErr w:type="spellEnd"/>
            <w:r w:rsidRPr="00603F76">
              <w:rPr>
                <w:rFonts w:asciiTheme="majorHAnsi" w:hAnsiTheme="majorHAnsi" w:cstheme="majorHAnsi"/>
                <w:i/>
              </w:rPr>
              <w:t xml:space="preserve"> - </w:t>
            </w:r>
            <w:proofErr w:type="spellStart"/>
            <w:r w:rsidRPr="00603F76">
              <w:rPr>
                <w:rFonts w:asciiTheme="majorHAnsi" w:hAnsiTheme="majorHAnsi" w:cstheme="majorHAnsi"/>
                <w:i/>
              </w:rPr>
              <w:t>article</w:t>
            </w:r>
            <w:proofErr w:type="spellEnd"/>
            <w:r w:rsidRPr="00603F76">
              <w:rPr>
                <w:rFonts w:asciiTheme="majorHAnsi" w:hAnsiTheme="majorHAnsi" w:cstheme="majorHAnsi"/>
                <w:i/>
              </w:rPr>
              <w:t xml:space="preserve"> 7(1) and </w:t>
            </w:r>
            <w:proofErr w:type="spellStart"/>
            <w:r w:rsidRPr="00603F76">
              <w:rPr>
                <w:rFonts w:asciiTheme="majorHAnsi" w:hAnsiTheme="majorHAnsi" w:cstheme="majorHAnsi"/>
                <w:i/>
              </w:rPr>
              <w:t>Article</w:t>
            </w:r>
            <w:proofErr w:type="spellEnd"/>
            <w:r w:rsidRPr="00603F76">
              <w:rPr>
                <w:rFonts w:asciiTheme="majorHAnsi" w:hAnsiTheme="majorHAnsi" w:cstheme="majorHAnsi"/>
                <w:i/>
              </w:rPr>
              <w:t xml:space="preserve"> 7(2)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Directive 2003/88.</w:t>
            </w:r>
          </w:p>
          <w:p w14:paraId="405A5FEA" w14:textId="77777777" w:rsidR="00CF3827" w:rsidRPr="00603F76" w:rsidRDefault="00CF3827" w:rsidP="001B7850">
            <w:pPr>
              <w:jc w:val="both"/>
              <w:rPr>
                <w:rFonts w:asciiTheme="majorHAnsi" w:hAnsiTheme="majorHAnsi" w:cstheme="majorHAnsi"/>
              </w:rPr>
            </w:pPr>
          </w:p>
          <w:p w14:paraId="661E600F" w14:textId="77777777" w:rsidR="00CF3827" w:rsidRPr="00603F76" w:rsidRDefault="00CF3827" w:rsidP="001B7850">
            <w:pPr>
              <w:pBdr>
                <w:top w:val="nil"/>
                <w:left w:val="nil"/>
                <w:bottom w:val="nil"/>
                <w:right w:val="nil"/>
                <w:between w:val="nil"/>
              </w:pBdr>
              <w:jc w:val="both"/>
              <w:rPr>
                <w:rFonts w:asciiTheme="majorHAnsi" w:hAnsiTheme="majorHAnsi" w:cstheme="majorHAnsi"/>
                <w:b/>
                <w:bCs/>
              </w:rPr>
            </w:pPr>
            <w:r w:rsidRPr="00603F76">
              <w:rPr>
                <w:rFonts w:asciiTheme="majorHAnsi" w:hAnsiTheme="majorHAnsi" w:cstheme="majorHAnsi"/>
                <w:b/>
                <w:bCs/>
                <w:color w:val="000000"/>
              </w:rPr>
              <w:t xml:space="preserve">ECJ, </w:t>
            </w:r>
            <w:proofErr w:type="spellStart"/>
            <w:r w:rsidRPr="00603F76">
              <w:rPr>
                <w:rFonts w:asciiTheme="majorHAnsi" w:hAnsiTheme="majorHAnsi" w:cstheme="majorHAnsi"/>
                <w:b/>
                <w:bCs/>
                <w:color w:val="000000"/>
              </w:rPr>
              <w:t>Grd</w:t>
            </w:r>
            <w:proofErr w:type="spellEnd"/>
            <w:r w:rsidRPr="00603F76">
              <w:rPr>
                <w:rFonts w:asciiTheme="majorHAnsi" w:hAnsiTheme="majorHAnsi" w:cstheme="majorHAnsi"/>
                <w:b/>
                <w:bCs/>
                <w:color w:val="000000"/>
              </w:rPr>
              <w:t xml:space="preserve">. Ch., C-477/21, 02/03/2023, </w:t>
            </w:r>
            <w:r w:rsidRPr="00603F76">
              <w:rPr>
                <w:rFonts w:asciiTheme="majorHAnsi" w:hAnsiTheme="majorHAnsi" w:cstheme="majorHAnsi"/>
                <w:b/>
                <w:bCs/>
                <w:i/>
                <w:iCs/>
                <w:color w:val="000000"/>
              </w:rPr>
              <w:t xml:space="preserve">IH v </w:t>
            </w:r>
            <w:proofErr w:type="spellStart"/>
            <w:r w:rsidRPr="00603F76">
              <w:rPr>
                <w:rFonts w:asciiTheme="majorHAnsi" w:hAnsiTheme="majorHAnsi" w:cstheme="majorHAnsi"/>
                <w:b/>
                <w:bCs/>
                <w:i/>
                <w:iCs/>
                <w:color w:val="000000"/>
              </w:rPr>
              <w:t>Mav-start</w:t>
            </w:r>
            <w:proofErr w:type="spellEnd"/>
            <w:r w:rsidRPr="00603F76">
              <w:rPr>
                <w:rFonts w:asciiTheme="majorHAnsi" w:hAnsiTheme="majorHAnsi" w:cstheme="majorHAnsi"/>
                <w:b/>
                <w:bCs/>
                <w:color w:val="000000"/>
              </w:rPr>
              <w:t xml:space="preserve"> </w:t>
            </w:r>
          </w:p>
          <w:p w14:paraId="3658074D" w14:textId="77777777" w:rsidR="00CF3827" w:rsidRPr="00603F76" w:rsidRDefault="00CF3827" w:rsidP="001B7850">
            <w:pPr>
              <w:jc w:val="both"/>
              <w:rPr>
                <w:rFonts w:asciiTheme="majorHAnsi" w:hAnsiTheme="majorHAnsi" w:cstheme="majorHAnsi"/>
              </w:rPr>
            </w:pPr>
            <w:proofErr w:type="spellStart"/>
            <w:r w:rsidRPr="00603F76">
              <w:rPr>
                <w:rFonts w:asciiTheme="majorHAnsi" w:hAnsiTheme="majorHAnsi" w:cstheme="majorHAnsi"/>
                <w:i/>
              </w:rPr>
              <w:t>Keywords</w:t>
            </w:r>
            <w:proofErr w:type="spellEnd"/>
            <w:r w:rsidRPr="00603F76">
              <w:rPr>
                <w:rFonts w:asciiTheme="majorHAnsi" w:hAnsiTheme="majorHAnsi" w:cstheme="majorHAnsi"/>
              </w:rPr>
              <w:t xml:space="preserve">: </w:t>
            </w:r>
            <w:proofErr w:type="spellStart"/>
            <w:r w:rsidRPr="00603F76">
              <w:rPr>
                <w:rFonts w:asciiTheme="majorHAnsi" w:hAnsiTheme="majorHAnsi" w:cstheme="majorHAnsi"/>
                <w:i/>
                <w:iCs/>
              </w:rPr>
              <w:t>Protection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safety and </w:t>
            </w:r>
            <w:proofErr w:type="spellStart"/>
            <w:r w:rsidRPr="00603F76">
              <w:rPr>
                <w:rFonts w:asciiTheme="majorHAnsi" w:hAnsiTheme="majorHAnsi" w:cstheme="majorHAnsi"/>
                <w:i/>
                <w:iCs/>
              </w:rPr>
              <w:t>health</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workers</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Organisation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working</w:t>
            </w:r>
            <w:proofErr w:type="spellEnd"/>
            <w:r w:rsidRPr="00603F76">
              <w:rPr>
                <w:rFonts w:asciiTheme="majorHAnsi" w:hAnsiTheme="majorHAnsi" w:cstheme="majorHAnsi"/>
                <w:i/>
                <w:iCs/>
              </w:rPr>
              <w:t xml:space="preserve"> time - </w:t>
            </w:r>
            <w:proofErr w:type="spellStart"/>
            <w:r w:rsidRPr="00603F76">
              <w:rPr>
                <w:rFonts w:asciiTheme="majorHAnsi" w:hAnsiTheme="majorHAnsi" w:cstheme="majorHAnsi"/>
                <w:i/>
                <w:iCs/>
              </w:rPr>
              <w:t>daily</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rest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period</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weekly</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rest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period</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article</w:t>
            </w:r>
            <w:proofErr w:type="spellEnd"/>
            <w:r w:rsidRPr="00603F76">
              <w:rPr>
                <w:rFonts w:asciiTheme="majorHAnsi" w:hAnsiTheme="majorHAnsi" w:cstheme="majorHAnsi"/>
                <w:i/>
                <w:iCs/>
              </w:rPr>
              <w:t xml:space="preserve"> 5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Directive 2003/88.</w:t>
            </w:r>
          </w:p>
          <w:p w14:paraId="6A1CE55E" w14:textId="77777777" w:rsidR="00CF3827" w:rsidRPr="00603F76" w:rsidRDefault="00CF3827" w:rsidP="001B7850">
            <w:pPr>
              <w:jc w:val="both"/>
              <w:rPr>
                <w:rFonts w:asciiTheme="majorHAnsi" w:hAnsiTheme="majorHAnsi" w:cstheme="majorHAnsi"/>
                <w:b/>
                <w:bCs/>
              </w:rPr>
            </w:pPr>
          </w:p>
          <w:p w14:paraId="71984387" w14:textId="77777777" w:rsidR="00CF3827" w:rsidRPr="00603F76" w:rsidRDefault="00CF3827" w:rsidP="001B7850">
            <w:pPr>
              <w:pBdr>
                <w:top w:val="nil"/>
                <w:left w:val="nil"/>
                <w:bottom w:val="nil"/>
                <w:right w:val="nil"/>
                <w:between w:val="nil"/>
              </w:pBdr>
              <w:jc w:val="both"/>
              <w:rPr>
                <w:rFonts w:asciiTheme="majorHAnsi" w:hAnsiTheme="majorHAnsi" w:cstheme="majorHAnsi"/>
                <w:b/>
                <w:bCs/>
                <w:lang w:val="it-IT"/>
              </w:rPr>
            </w:pPr>
            <w:r w:rsidRPr="00603F76">
              <w:rPr>
                <w:rFonts w:asciiTheme="majorHAnsi" w:hAnsiTheme="majorHAnsi" w:cstheme="majorHAnsi"/>
                <w:b/>
                <w:bCs/>
                <w:color w:val="000000"/>
                <w:lang w:val="it-IT"/>
              </w:rPr>
              <w:t xml:space="preserve">ECJ, Grd. Ch., C-344/19, 09/03/2021, </w:t>
            </w:r>
            <w:r w:rsidRPr="00603F76">
              <w:rPr>
                <w:rFonts w:asciiTheme="majorHAnsi" w:hAnsiTheme="majorHAnsi" w:cstheme="majorHAnsi"/>
                <w:b/>
                <w:bCs/>
                <w:i/>
                <w:iCs/>
                <w:color w:val="000000"/>
                <w:lang w:val="it-IT"/>
              </w:rPr>
              <w:t>D.J. v Radioteleviza Slovenija</w:t>
            </w:r>
          </w:p>
          <w:p w14:paraId="79637FF6" w14:textId="77777777" w:rsidR="00CF3827" w:rsidRPr="00603F76" w:rsidRDefault="00CF3827" w:rsidP="001B7850">
            <w:pPr>
              <w:jc w:val="both"/>
              <w:rPr>
                <w:rFonts w:asciiTheme="majorHAnsi" w:hAnsiTheme="majorHAnsi" w:cstheme="majorHAnsi"/>
                <w:i/>
              </w:rPr>
            </w:pPr>
            <w:proofErr w:type="spellStart"/>
            <w:r w:rsidRPr="00603F76">
              <w:rPr>
                <w:rFonts w:asciiTheme="majorHAnsi" w:hAnsiTheme="majorHAnsi" w:cstheme="majorHAnsi"/>
                <w:i/>
              </w:rPr>
              <w:t>Keywords</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Protection</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the</w:t>
            </w:r>
            <w:proofErr w:type="spellEnd"/>
            <w:r w:rsidRPr="00603F76">
              <w:rPr>
                <w:rFonts w:asciiTheme="majorHAnsi" w:hAnsiTheme="majorHAnsi" w:cstheme="majorHAnsi"/>
                <w:i/>
              </w:rPr>
              <w:t xml:space="preserve"> safety and </w:t>
            </w:r>
            <w:proofErr w:type="spellStart"/>
            <w:r w:rsidRPr="00603F76">
              <w:rPr>
                <w:rFonts w:asciiTheme="majorHAnsi" w:hAnsiTheme="majorHAnsi" w:cstheme="majorHAnsi"/>
                <w:i/>
              </w:rPr>
              <w:t>health</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workers</w:t>
            </w:r>
            <w:proofErr w:type="spellEnd"/>
            <w:r w:rsidRPr="00603F76">
              <w:rPr>
                <w:rFonts w:asciiTheme="majorHAnsi" w:hAnsiTheme="majorHAnsi" w:cstheme="majorHAnsi"/>
                <w:i/>
              </w:rPr>
              <w:t xml:space="preserve"> - </w:t>
            </w:r>
            <w:proofErr w:type="spellStart"/>
            <w:r w:rsidRPr="00603F76">
              <w:rPr>
                <w:rFonts w:asciiTheme="majorHAnsi" w:hAnsiTheme="majorHAnsi" w:cstheme="majorHAnsi"/>
                <w:i/>
              </w:rPr>
              <w:t>Organisation</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working</w:t>
            </w:r>
            <w:proofErr w:type="spellEnd"/>
            <w:r w:rsidRPr="00603F76">
              <w:rPr>
                <w:rFonts w:asciiTheme="majorHAnsi" w:hAnsiTheme="majorHAnsi" w:cstheme="majorHAnsi"/>
                <w:i/>
              </w:rPr>
              <w:t xml:space="preserve"> time, </w:t>
            </w:r>
            <w:proofErr w:type="spellStart"/>
            <w:r w:rsidRPr="00603F76">
              <w:rPr>
                <w:rFonts w:asciiTheme="majorHAnsi" w:hAnsiTheme="majorHAnsi" w:cstheme="majorHAnsi"/>
                <w:i/>
              </w:rPr>
              <w:t>period</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stand-</w:t>
            </w:r>
            <w:proofErr w:type="spellStart"/>
            <w:r w:rsidRPr="00603F76">
              <w:rPr>
                <w:rFonts w:asciiTheme="majorHAnsi" w:hAnsiTheme="majorHAnsi" w:cstheme="majorHAnsi"/>
                <w:i/>
              </w:rPr>
              <w:t>by</w:t>
            </w:r>
            <w:proofErr w:type="spellEnd"/>
            <w:r w:rsidRPr="00603F76">
              <w:rPr>
                <w:rFonts w:asciiTheme="majorHAnsi" w:hAnsiTheme="majorHAnsi" w:cstheme="majorHAnsi"/>
                <w:i/>
              </w:rPr>
              <w:t xml:space="preserve"> time </w:t>
            </w:r>
            <w:proofErr w:type="spellStart"/>
            <w:r w:rsidRPr="00603F76">
              <w:rPr>
                <w:rFonts w:asciiTheme="majorHAnsi" w:hAnsiTheme="majorHAnsi" w:cstheme="majorHAnsi"/>
                <w:i/>
              </w:rPr>
              <w:t>during</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which</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the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worker</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is</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required</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only</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to</w:t>
            </w:r>
            <w:proofErr w:type="spellEnd"/>
            <w:r w:rsidRPr="00603F76">
              <w:rPr>
                <w:rFonts w:asciiTheme="majorHAnsi" w:hAnsiTheme="majorHAnsi" w:cstheme="majorHAnsi"/>
                <w:i/>
              </w:rPr>
              <w:t xml:space="preserve"> be </w:t>
            </w:r>
            <w:proofErr w:type="spellStart"/>
            <w:r w:rsidRPr="00603F76">
              <w:rPr>
                <w:rFonts w:asciiTheme="majorHAnsi" w:hAnsiTheme="majorHAnsi" w:cstheme="majorHAnsi"/>
                <w:i/>
              </w:rPr>
              <w:t>contactable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by</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telephone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constitute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or</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not</w:t>
            </w:r>
            <w:proofErr w:type="spellEnd"/>
            <w:r w:rsidRPr="00603F76">
              <w:rPr>
                <w:rFonts w:asciiTheme="majorHAnsi" w:hAnsiTheme="majorHAnsi" w:cstheme="majorHAnsi"/>
                <w:i/>
              </w:rPr>
              <w:t xml:space="preserve"> a </w:t>
            </w:r>
            <w:proofErr w:type="spellStart"/>
            <w:r w:rsidRPr="00603F76">
              <w:rPr>
                <w:rFonts w:asciiTheme="majorHAnsi" w:hAnsiTheme="majorHAnsi" w:cstheme="majorHAnsi"/>
                <w:i/>
              </w:rPr>
              <w:t>working</w:t>
            </w:r>
            <w:proofErr w:type="spellEnd"/>
            <w:r w:rsidRPr="00603F76">
              <w:rPr>
                <w:rFonts w:asciiTheme="majorHAnsi" w:hAnsiTheme="majorHAnsi" w:cstheme="majorHAnsi"/>
                <w:i/>
              </w:rPr>
              <w:t xml:space="preserve"> time - </w:t>
            </w:r>
            <w:proofErr w:type="spellStart"/>
            <w:r w:rsidRPr="00603F76">
              <w:rPr>
                <w:rFonts w:asciiTheme="majorHAnsi" w:hAnsiTheme="majorHAnsi" w:cstheme="majorHAnsi"/>
                <w:i/>
              </w:rPr>
              <w:t>article</w:t>
            </w:r>
            <w:proofErr w:type="spellEnd"/>
            <w:r w:rsidRPr="00603F76">
              <w:rPr>
                <w:rFonts w:asciiTheme="majorHAnsi" w:hAnsiTheme="majorHAnsi" w:cstheme="majorHAnsi"/>
                <w:i/>
              </w:rPr>
              <w:t xml:space="preserve"> 2(1)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Directive 2003/88 </w:t>
            </w:r>
          </w:p>
          <w:p w14:paraId="7930EC30" w14:textId="77777777" w:rsidR="00CF3827" w:rsidRPr="00603F76" w:rsidRDefault="00CF3827" w:rsidP="001B7850">
            <w:pPr>
              <w:jc w:val="both"/>
              <w:rPr>
                <w:rFonts w:asciiTheme="majorHAnsi" w:hAnsiTheme="majorHAnsi" w:cstheme="majorHAnsi"/>
              </w:rPr>
            </w:pPr>
          </w:p>
          <w:p w14:paraId="64E1D5F6" w14:textId="77777777" w:rsidR="00CF3827" w:rsidRPr="00603F76" w:rsidRDefault="00CF3827" w:rsidP="001B7850">
            <w:pPr>
              <w:pBdr>
                <w:top w:val="nil"/>
                <w:left w:val="nil"/>
                <w:bottom w:val="nil"/>
                <w:right w:val="nil"/>
                <w:between w:val="nil"/>
              </w:pBdr>
              <w:jc w:val="both"/>
              <w:rPr>
                <w:rFonts w:asciiTheme="majorHAnsi" w:hAnsiTheme="majorHAnsi" w:cstheme="majorHAnsi"/>
                <w:b/>
                <w:bCs/>
              </w:rPr>
            </w:pPr>
            <w:r w:rsidRPr="00603F76">
              <w:rPr>
                <w:rFonts w:asciiTheme="majorHAnsi" w:hAnsiTheme="majorHAnsi" w:cstheme="majorHAnsi"/>
                <w:b/>
                <w:bCs/>
                <w:color w:val="000000"/>
              </w:rPr>
              <w:t xml:space="preserve">ECJ, </w:t>
            </w:r>
            <w:proofErr w:type="spellStart"/>
            <w:r w:rsidRPr="00603F76">
              <w:rPr>
                <w:rFonts w:asciiTheme="majorHAnsi" w:hAnsiTheme="majorHAnsi" w:cstheme="majorHAnsi"/>
                <w:b/>
                <w:bCs/>
                <w:color w:val="000000"/>
              </w:rPr>
              <w:t>Grd</w:t>
            </w:r>
            <w:proofErr w:type="spellEnd"/>
            <w:r w:rsidRPr="00603F76">
              <w:rPr>
                <w:rFonts w:asciiTheme="majorHAnsi" w:hAnsiTheme="majorHAnsi" w:cstheme="majorHAnsi"/>
                <w:b/>
                <w:bCs/>
                <w:color w:val="000000"/>
              </w:rPr>
              <w:t xml:space="preserve">. Ch., C-119/19 and C-126/19, 08/09/2020, </w:t>
            </w:r>
            <w:proofErr w:type="spellStart"/>
            <w:r w:rsidRPr="00603F76">
              <w:rPr>
                <w:rFonts w:asciiTheme="majorHAnsi" w:hAnsiTheme="majorHAnsi" w:cstheme="majorHAnsi"/>
                <w:b/>
                <w:bCs/>
                <w:i/>
                <w:iCs/>
                <w:color w:val="000000"/>
              </w:rPr>
              <w:t>Commission</w:t>
            </w:r>
            <w:proofErr w:type="spellEnd"/>
            <w:r w:rsidRPr="00603F76">
              <w:rPr>
                <w:rFonts w:asciiTheme="majorHAnsi" w:hAnsiTheme="majorHAnsi" w:cstheme="majorHAnsi"/>
                <w:b/>
                <w:bCs/>
                <w:i/>
                <w:iCs/>
                <w:color w:val="000000"/>
              </w:rPr>
              <w:t xml:space="preserve"> and Council v Francisco Carreras Sequeros </w:t>
            </w:r>
            <w:proofErr w:type="spellStart"/>
            <w:r w:rsidRPr="00603F76">
              <w:rPr>
                <w:rFonts w:asciiTheme="majorHAnsi" w:hAnsiTheme="majorHAnsi" w:cstheme="majorHAnsi"/>
                <w:b/>
                <w:bCs/>
                <w:i/>
                <w:iCs/>
                <w:color w:val="000000"/>
              </w:rPr>
              <w:t>e.a</w:t>
            </w:r>
            <w:proofErr w:type="spellEnd"/>
            <w:r w:rsidRPr="00603F76">
              <w:rPr>
                <w:rFonts w:asciiTheme="majorHAnsi" w:hAnsiTheme="majorHAnsi" w:cstheme="majorHAnsi"/>
                <w:b/>
                <w:bCs/>
                <w:i/>
                <w:iCs/>
                <w:color w:val="000000"/>
              </w:rPr>
              <w:t>.</w:t>
            </w:r>
          </w:p>
          <w:p w14:paraId="46DA2731" w14:textId="77777777" w:rsidR="00CF3827" w:rsidRPr="00603F76" w:rsidRDefault="00CF3827" w:rsidP="001B7850">
            <w:pPr>
              <w:jc w:val="both"/>
              <w:rPr>
                <w:rFonts w:asciiTheme="majorHAnsi" w:hAnsiTheme="majorHAnsi" w:cstheme="majorHAnsi"/>
              </w:rPr>
            </w:pPr>
            <w:proofErr w:type="spellStart"/>
            <w:r w:rsidRPr="00603F76">
              <w:rPr>
                <w:rFonts w:asciiTheme="majorHAnsi" w:hAnsiTheme="majorHAnsi" w:cstheme="majorHAnsi"/>
                <w:i/>
              </w:rPr>
              <w:t>Keywords</w:t>
            </w:r>
            <w:proofErr w:type="spellEnd"/>
            <w:r w:rsidRPr="00603F76">
              <w:rPr>
                <w:rFonts w:asciiTheme="majorHAnsi" w:hAnsiTheme="majorHAnsi" w:cstheme="majorHAnsi"/>
              </w:rPr>
              <w:t xml:space="preserve">: </w:t>
            </w:r>
            <w:proofErr w:type="spellStart"/>
            <w:r w:rsidRPr="00603F76">
              <w:rPr>
                <w:rFonts w:asciiTheme="majorHAnsi" w:hAnsiTheme="majorHAnsi" w:cstheme="majorHAnsi"/>
                <w:i/>
                <w:iCs/>
              </w:rPr>
              <w:t>Protection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safety and </w:t>
            </w:r>
            <w:proofErr w:type="spellStart"/>
            <w:r w:rsidRPr="00603F76">
              <w:rPr>
                <w:rFonts w:asciiTheme="majorHAnsi" w:hAnsiTheme="majorHAnsi" w:cstheme="majorHAnsi"/>
                <w:i/>
                <w:iCs/>
              </w:rPr>
              <w:t>health</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workers</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Right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to</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paid</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annual</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leave</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Officials</w:t>
            </w:r>
            <w:proofErr w:type="spellEnd"/>
            <w:r w:rsidRPr="00603F76">
              <w:rPr>
                <w:rFonts w:asciiTheme="majorHAnsi" w:hAnsiTheme="majorHAnsi" w:cstheme="majorHAnsi"/>
                <w:i/>
                <w:iCs/>
              </w:rPr>
              <w:t xml:space="preserve"> and </w:t>
            </w:r>
            <w:proofErr w:type="spellStart"/>
            <w:r w:rsidRPr="00603F76">
              <w:rPr>
                <w:rFonts w:asciiTheme="majorHAnsi" w:hAnsiTheme="majorHAnsi" w:cstheme="majorHAnsi"/>
                <w:i/>
                <w:iCs/>
              </w:rPr>
              <w:t>members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Eu </w:t>
            </w:r>
            <w:proofErr w:type="spellStart"/>
            <w:r w:rsidRPr="00603F76">
              <w:rPr>
                <w:rFonts w:asciiTheme="majorHAnsi" w:hAnsiTheme="majorHAnsi" w:cstheme="majorHAnsi"/>
                <w:i/>
                <w:iCs/>
              </w:rPr>
              <w:t>institutions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serving</w:t>
            </w:r>
            <w:proofErr w:type="spellEnd"/>
            <w:r w:rsidRPr="00603F76">
              <w:rPr>
                <w:rFonts w:asciiTheme="majorHAnsi" w:hAnsiTheme="majorHAnsi" w:cstheme="majorHAnsi"/>
                <w:i/>
                <w:iCs/>
              </w:rPr>
              <w:t xml:space="preserve"> in a </w:t>
            </w:r>
            <w:proofErr w:type="spellStart"/>
            <w:r w:rsidRPr="00603F76">
              <w:rPr>
                <w:rFonts w:asciiTheme="majorHAnsi" w:hAnsiTheme="majorHAnsi" w:cstheme="majorHAnsi"/>
                <w:i/>
                <w:iCs/>
              </w:rPr>
              <w:t>third</w:t>
            </w:r>
            <w:proofErr w:type="spellEnd"/>
            <w:r w:rsidRPr="00603F76">
              <w:rPr>
                <w:rFonts w:asciiTheme="majorHAnsi" w:hAnsiTheme="majorHAnsi" w:cstheme="majorHAnsi"/>
                <w:i/>
                <w:iCs/>
              </w:rPr>
              <w:t xml:space="preserve"> country – New </w:t>
            </w:r>
            <w:proofErr w:type="spellStart"/>
            <w:r w:rsidRPr="00603F76">
              <w:rPr>
                <w:rFonts w:asciiTheme="majorHAnsi" w:hAnsiTheme="majorHAnsi" w:cstheme="majorHAnsi"/>
                <w:i/>
                <w:iCs/>
              </w:rPr>
              <w:t>provisions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granting</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days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paid</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annual</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leave</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article</w:t>
            </w:r>
            <w:proofErr w:type="spellEnd"/>
            <w:r w:rsidRPr="00603F76">
              <w:rPr>
                <w:rFonts w:asciiTheme="majorHAnsi" w:hAnsiTheme="majorHAnsi" w:cstheme="majorHAnsi"/>
                <w:i/>
                <w:iCs/>
              </w:rPr>
              <w:t xml:space="preserve"> 7(1)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Directive 2003/88/EC.</w:t>
            </w:r>
          </w:p>
          <w:p w14:paraId="3A1E6110" w14:textId="77777777" w:rsidR="00CF3827" w:rsidRPr="00603F76" w:rsidRDefault="00CF3827" w:rsidP="001B7850">
            <w:pPr>
              <w:jc w:val="both"/>
              <w:rPr>
                <w:rFonts w:asciiTheme="majorHAnsi" w:hAnsiTheme="majorHAnsi" w:cstheme="majorHAnsi"/>
              </w:rPr>
            </w:pPr>
          </w:p>
          <w:p w14:paraId="3A7E699F" w14:textId="77777777" w:rsidR="00CF3827" w:rsidRPr="00603F76" w:rsidRDefault="00CF3827" w:rsidP="001B7850">
            <w:pPr>
              <w:pBdr>
                <w:top w:val="nil"/>
                <w:left w:val="nil"/>
                <w:bottom w:val="nil"/>
                <w:right w:val="nil"/>
                <w:between w:val="nil"/>
              </w:pBdr>
              <w:jc w:val="both"/>
              <w:rPr>
                <w:rFonts w:asciiTheme="majorHAnsi" w:hAnsiTheme="majorHAnsi" w:cstheme="majorHAnsi"/>
                <w:b/>
                <w:bCs/>
              </w:rPr>
            </w:pPr>
            <w:r w:rsidRPr="00603F76">
              <w:rPr>
                <w:rFonts w:asciiTheme="majorHAnsi" w:hAnsiTheme="majorHAnsi" w:cstheme="majorHAnsi"/>
                <w:b/>
                <w:bCs/>
                <w:color w:val="000000"/>
              </w:rPr>
              <w:t xml:space="preserve">ECJ, </w:t>
            </w:r>
            <w:proofErr w:type="spellStart"/>
            <w:r w:rsidRPr="00603F76">
              <w:rPr>
                <w:rFonts w:asciiTheme="majorHAnsi" w:hAnsiTheme="majorHAnsi" w:cstheme="majorHAnsi"/>
                <w:b/>
                <w:bCs/>
                <w:color w:val="000000"/>
              </w:rPr>
              <w:t>Grd</w:t>
            </w:r>
            <w:proofErr w:type="spellEnd"/>
            <w:r w:rsidRPr="00603F76">
              <w:rPr>
                <w:rFonts w:asciiTheme="majorHAnsi" w:hAnsiTheme="majorHAnsi" w:cstheme="majorHAnsi"/>
                <w:b/>
                <w:bCs/>
                <w:color w:val="000000"/>
              </w:rPr>
              <w:t xml:space="preserve">. Ch., C-55/18, 14/05/2019, </w:t>
            </w:r>
            <w:r w:rsidRPr="00603F76">
              <w:rPr>
                <w:rFonts w:asciiTheme="majorHAnsi" w:hAnsiTheme="majorHAnsi" w:cstheme="majorHAnsi"/>
                <w:b/>
                <w:bCs/>
                <w:i/>
                <w:iCs/>
                <w:color w:val="000000"/>
              </w:rPr>
              <w:t>Federación de Servicios de Comisiones Obreras (CCOO) v Deutsche Bank SAE.</w:t>
            </w:r>
          </w:p>
          <w:p w14:paraId="1EA6C531" w14:textId="77777777" w:rsidR="00CF3827" w:rsidRPr="00603F76" w:rsidRDefault="00CF3827" w:rsidP="001B7850">
            <w:pPr>
              <w:jc w:val="both"/>
              <w:rPr>
                <w:rFonts w:asciiTheme="majorHAnsi" w:hAnsiTheme="majorHAnsi" w:cstheme="majorHAnsi"/>
                <w:i/>
                <w:iCs/>
              </w:rPr>
            </w:pPr>
            <w:proofErr w:type="spellStart"/>
            <w:r w:rsidRPr="00603F76">
              <w:rPr>
                <w:rFonts w:asciiTheme="majorHAnsi" w:hAnsiTheme="majorHAnsi" w:cstheme="majorHAnsi"/>
                <w:i/>
                <w:iCs/>
              </w:rPr>
              <w:t>Keywords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Protection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safety and </w:t>
            </w:r>
            <w:proofErr w:type="spellStart"/>
            <w:r w:rsidRPr="00603F76">
              <w:rPr>
                <w:rFonts w:asciiTheme="majorHAnsi" w:hAnsiTheme="majorHAnsi" w:cstheme="majorHAnsi"/>
                <w:i/>
                <w:iCs/>
              </w:rPr>
              <w:t>health</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workers</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Organisation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working</w:t>
            </w:r>
            <w:proofErr w:type="spellEnd"/>
            <w:r w:rsidRPr="00603F76">
              <w:rPr>
                <w:rFonts w:asciiTheme="majorHAnsi" w:hAnsiTheme="majorHAnsi" w:cstheme="majorHAnsi"/>
                <w:i/>
                <w:iCs/>
              </w:rPr>
              <w:t xml:space="preserve"> time, </w:t>
            </w:r>
            <w:proofErr w:type="spellStart"/>
            <w:r w:rsidRPr="00603F76">
              <w:rPr>
                <w:rFonts w:asciiTheme="majorHAnsi" w:hAnsiTheme="majorHAnsi" w:cstheme="majorHAnsi"/>
                <w:i/>
                <w:iCs/>
              </w:rPr>
              <w:t>minimum</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rest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periods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must</w:t>
            </w:r>
            <w:proofErr w:type="spellEnd"/>
            <w:r w:rsidRPr="00603F76">
              <w:rPr>
                <w:rFonts w:asciiTheme="majorHAnsi" w:hAnsiTheme="majorHAnsi" w:cstheme="majorHAnsi"/>
                <w:i/>
                <w:iCs/>
              </w:rPr>
              <w:t xml:space="preserve"> be </w:t>
            </w:r>
            <w:proofErr w:type="spellStart"/>
            <w:r w:rsidRPr="00603F76">
              <w:rPr>
                <w:rFonts w:asciiTheme="majorHAnsi" w:hAnsiTheme="majorHAnsi" w:cstheme="majorHAnsi"/>
                <w:i/>
                <w:iCs/>
              </w:rPr>
              <w:t>observed</w:t>
            </w:r>
            <w:proofErr w:type="spellEnd"/>
            <w:r w:rsidRPr="00603F76">
              <w:rPr>
                <w:rFonts w:asciiTheme="majorHAnsi" w:hAnsiTheme="majorHAnsi" w:cstheme="majorHAnsi"/>
                <w:i/>
                <w:iCs/>
              </w:rPr>
              <w:t xml:space="preserve"> and </w:t>
            </w:r>
            <w:proofErr w:type="spellStart"/>
            <w:r w:rsidRPr="00603F76">
              <w:rPr>
                <w:rFonts w:asciiTheme="majorHAnsi" w:hAnsiTheme="majorHAnsi" w:cstheme="majorHAnsi"/>
                <w:i/>
                <w:iCs/>
              </w:rPr>
              <w:t>to</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prevent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maximum</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weekly</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working</w:t>
            </w:r>
            <w:proofErr w:type="spellEnd"/>
            <w:r w:rsidRPr="00603F76">
              <w:rPr>
                <w:rFonts w:asciiTheme="majorHAnsi" w:hAnsiTheme="majorHAnsi" w:cstheme="majorHAnsi"/>
                <w:i/>
                <w:iCs/>
              </w:rPr>
              <w:t xml:space="preserve"> time - </w:t>
            </w:r>
            <w:proofErr w:type="spellStart"/>
            <w:r w:rsidRPr="00603F76">
              <w:rPr>
                <w:rFonts w:asciiTheme="majorHAnsi" w:hAnsiTheme="majorHAnsi" w:cstheme="majorHAnsi"/>
                <w:i/>
                <w:iCs/>
              </w:rPr>
              <w:t>obligation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to</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have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recourse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to</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an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instrument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that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enables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objective</w:t>
            </w:r>
            <w:proofErr w:type="spellEnd"/>
            <w:r w:rsidRPr="00603F76">
              <w:rPr>
                <w:rFonts w:asciiTheme="majorHAnsi" w:hAnsiTheme="majorHAnsi" w:cstheme="majorHAnsi"/>
                <w:i/>
                <w:iCs/>
              </w:rPr>
              <w:t xml:space="preserve"> and </w:t>
            </w:r>
            <w:proofErr w:type="spellStart"/>
            <w:r w:rsidRPr="00603F76">
              <w:rPr>
                <w:rFonts w:asciiTheme="majorHAnsi" w:hAnsiTheme="majorHAnsi" w:cstheme="majorHAnsi"/>
                <w:i/>
                <w:iCs/>
              </w:rPr>
              <w:t>reliable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determination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number</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hours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worked</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each</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day</w:t>
            </w:r>
            <w:proofErr w:type="spellEnd"/>
            <w:r w:rsidRPr="00603F76">
              <w:rPr>
                <w:rFonts w:asciiTheme="majorHAnsi" w:hAnsiTheme="majorHAnsi" w:cstheme="majorHAnsi"/>
                <w:i/>
                <w:iCs/>
              </w:rPr>
              <w:t xml:space="preserve"> and </w:t>
            </w:r>
            <w:proofErr w:type="spellStart"/>
            <w:r w:rsidRPr="00603F76">
              <w:rPr>
                <w:rFonts w:asciiTheme="majorHAnsi" w:hAnsiTheme="majorHAnsi" w:cstheme="majorHAnsi"/>
                <w:i/>
                <w:iCs/>
              </w:rPr>
              <w:t>each</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week</w:t>
            </w:r>
            <w:proofErr w:type="spellEnd"/>
            <w:r w:rsidRPr="00603F76">
              <w:rPr>
                <w:rFonts w:asciiTheme="majorHAnsi" w:hAnsiTheme="majorHAnsi" w:cstheme="majorHAnsi"/>
                <w:i/>
                <w:iCs/>
              </w:rPr>
              <w:t xml:space="preserve"> - Directive 2003/88</w:t>
            </w:r>
          </w:p>
          <w:p w14:paraId="7EE7A6C3" w14:textId="77777777" w:rsidR="00CF3827" w:rsidRPr="00603F76" w:rsidRDefault="00CF3827" w:rsidP="001B7850">
            <w:pPr>
              <w:jc w:val="both"/>
              <w:rPr>
                <w:rFonts w:asciiTheme="majorHAnsi" w:hAnsiTheme="majorHAnsi" w:cstheme="majorHAnsi"/>
              </w:rPr>
            </w:pPr>
          </w:p>
          <w:p w14:paraId="17F58F5D" w14:textId="77777777" w:rsidR="00CF3827" w:rsidRPr="00603F76" w:rsidRDefault="00CF3827" w:rsidP="001B7850">
            <w:pPr>
              <w:pBdr>
                <w:top w:val="nil"/>
                <w:left w:val="nil"/>
                <w:bottom w:val="nil"/>
                <w:right w:val="nil"/>
                <w:between w:val="nil"/>
              </w:pBdr>
              <w:jc w:val="both"/>
              <w:rPr>
                <w:rFonts w:asciiTheme="majorHAnsi" w:hAnsiTheme="majorHAnsi" w:cstheme="majorHAnsi"/>
                <w:b/>
                <w:bCs/>
              </w:rPr>
            </w:pPr>
            <w:r w:rsidRPr="00603F76">
              <w:rPr>
                <w:rFonts w:asciiTheme="majorHAnsi" w:hAnsiTheme="majorHAnsi" w:cstheme="majorHAnsi"/>
                <w:b/>
                <w:bCs/>
                <w:color w:val="000000"/>
              </w:rPr>
              <w:t xml:space="preserve">ECJ, </w:t>
            </w:r>
            <w:proofErr w:type="spellStart"/>
            <w:r w:rsidRPr="00603F76">
              <w:rPr>
                <w:rFonts w:asciiTheme="majorHAnsi" w:hAnsiTheme="majorHAnsi" w:cstheme="majorHAnsi"/>
                <w:b/>
                <w:bCs/>
                <w:color w:val="000000"/>
              </w:rPr>
              <w:t>Grd</w:t>
            </w:r>
            <w:proofErr w:type="spellEnd"/>
            <w:r w:rsidRPr="00603F76">
              <w:rPr>
                <w:rFonts w:asciiTheme="majorHAnsi" w:hAnsiTheme="majorHAnsi" w:cstheme="majorHAnsi"/>
                <w:b/>
                <w:bCs/>
                <w:color w:val="000000"/>
              </w:rPr>
              <w:t xml:space="preserve">. Ch., C-762/18 and C 37/19, 25/06/2020, </w:t>
            </w:r>
            <w:r w:rsidRPr="00603F76">
              <w:rPr>
                <w:rFonts w:asciiTheme="majorHAnsi" w:hAnsiTheme="majorHAnsi" w:cstheme="majorHAnsi"/>
                <w:b/>
                <w:bCs/>
                <w:i/>
                <w:iCs/>
                <w:color w:val="000000"/>
              </w:rPr>
              <w:t xml:space="preserve">QH v </w:t>
            </w:r>
            <w:proofErr w:type="spellStart"/>
            <w:r w:rsidRPr="00603F76">
              <w:rPr>
                <w:rFonts w:asciiTheme="majorHAnsi" w:hAnsiTheme="majorHAnsi" w:cstheme="majorHAnsi"/>
                <w:b/>
                <w:bCs/>
                <w:i/>
                <w:iCs/>
                <w:color w:val="000000"/>
              </w:rPr>
              <w:t>Varhoven</w:t>
            </w:r>
            <w:proofErr w:type="spellEnd"/>
            <w:r w:rsidRPr="00603F76">
              <w:rPr>
                <w:rFonts w:asciiTheme="majorHAnsi" w:hAnsiTheme="majorHAnsi" w:cstheme="majorHAnsi"/>
                <w:b/>
                <w:bCs/>
                <w:i/>
                <w:iCs/>
                <w:color w:val="000000"/>
              </w:rPr>
              <w:t xml:space="preserve"> </w:t>
            </w:r>
            <w:proofErr w:type="spellStart"/>
            <w:r w:rsidRPr="00603F76">
              <w:rPr>
                <w:rFonts w:asciiTheme="majorHAnsi" w:hAnsiTheme="majorHAnsi" w:cstheme="majorHAnsi"/>
                <w:b/>
                <w:bCs/>
                <w:i/>
                <w:iCs/>
                <w:color w:val="000000"/>
              </w:rPr>
              <w:t>kasatsionen</w:t>
            </w:r>
            <w:proofErr w:type="spellEnd"/>
            <w:r w:rsidRPr="00603F76">
              <w:rPr>
                <w:rFonts w:asciiTheme="majorHAnsi" w:hAnsiTheme="majorHAnsi" w:cstheme="majorHAnsi"/>
                <w:b/>
                <w:bCs/>
                <w:i/>
                <w:iCs/>
                <w:color w:val="000000"/>
              </w:rPr>
              <w:t xml:space="preserve"> </w:t>
            </w:r>
            <w:proofErr w:type="spellStart"/>
            <w:r w:rsidRPr="00603F76">
              <w:rPr>
                <w:rFonts w:asciiTheme="majorHAnsi" w:hAnsiTheme="majorHAnsi" w:cstheme="majorHAnsi"/>
                <w:b/>
                <w:bCs/>
                <w:i/>
                <w:iCs/>
                <w:color w:val="000000"/>
              </w:rPr>
              <w:t>sad</w:t>
            </w:r>
            <w:proofErr w:type="spellEnd"/>
            <w:r w:rsidRPr="00603F76">
              <w:rPr>
                <w:rFonts w:asciiTheme="majorHAnsi" w:hAnsiTheme="majorHAnsi" w:cstheme="majorHAnsi"/>
                <w:b/>
                <w:bCs/>
                <w:i/>
                <w:iCs/>
                <w:color w:val="000000"/>
              </w:rPr>
              <w:t xml:space="preserve"> </w:t>
            </w:r>
            <w:proofErr w:type="spellStart"/>
            <w:r w:rsidRPr="00603F76">
              <w:rPr>
                <w:rFonts w:asciiTheme="majorHAnsi" w:hAnsiTheme="majorHAnsi" w:cstheme="majorHAnsi"/>
                <w:b/>
                <w:bCs/>
                <w:i/>
                <w:iCs/>
                <w:color w:val="000000"/>
              </w:rPr>
              <w:t>na</w:t>
            </w:r>
            <w:proofErr w:type="spellEnd"/>
            <w:r w:rsidRPr="00603F76">
              <w:rPr>
                <w:rFonts w:asciiTheme="majorHAnsi" w:hAnsiTheme="majorHAnsi" w:cstheme="majorHAnsi"/>
                <w:b/>
                <w:bCs/>
                <w:i/>
                <w:iCs/>
                <w:color w:val="000000"/>
              </w:rPr>
              <w:t xml:space="preserve"> Republika Bulgaria</w:t>
            </w:r>
            <w:r w:rsidRPr="00603F76">
              <w:rPr>
                <w:rFonts w:asciiTheme="majorHAnsi" w:hAnsiTheme="majorHAnsi" w:cstheme="majorHAnsi"/>
                <w:b/>
                <w:bCs/>
                <w:color w:val="000000"/>
              </w:rPr>
              <w:t xml:space="preserve"> </w:t>
            </w:r>
          </w:p>
          <w:p w14:paraId="42899476" w14:textId="77777777" w:rsidR="00CF3827" w:rsidRPr="00603F76" w:rsidRDefault="00CF3827" w:rsidP="001B7850">
            <w:pPr>
              <w:jc w:val="both"/>
              <w:rPr>
                <w:rFonts w:asciiTheme="majorHAnsi" w:hAnsiTheme="majorHAnsi" w:cstheme="majorHAnsi"/>
                <w:i/>
              </w:rPr>
            </w:pPr>
            <w:proofErr w:type="spellStart"/>
            <w:r w:rsidRPr="00603F76">
              <w:rPr>
                <w:rFonts w:asciiTheme="majorHAnsi" w:hAnsiTheme="majorHAnsi" w:cstheme="majorHAnsi"/>
                <w:i/>
              </w:rPr>
              <w:t>Keywords</w:t>
            </w:r>
            <w:proofErr w:type="spellEnd"/>
            <w:r w:rsidRPr="00603F76">
              <w:rPr>
                <w:rFonts w:asciiTheme="majorHAnsi" w:hAnsiTheme="majorHAnsi" w:cstheme="majorHAnsi"/>
                <w:i/>
              </w:rPr>
              <w:t xml:space="preserve">: </w:t>
            </w:r>
            <w:r w:rsidRPr="00603F76">
              <w:rPr>
                <w:rFonts w:asciiTheme="majorHAnsi" w:hAnsiTheme="majorHAnsi" w:cstheme="majorHAnsi"/>
                <w:i/>
              </w:rPr>
              <w:tab/>
            </w:r>
            <w:proofErr w:type="spellStart"/>
            <w:r w:rsidRPr="00603F76">
              <w:rPr>
                <w:rFonts w:asciiTheme="majorHAnsi" w:hAnsiTheme="majorHAnsi" w:cstheme="majorHAnsi"/>
                <w:i/>
              </w:rPr>
              <w:t>Protection</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the</w:t>
            </w:r>
            <w:proofErr w:type="spellEnd"/>
            <w:r w:rsidRPr="00603F76">
              <w:rPr>
                <w:rFonts w:asciiTheme="majorHAnsi" w:hAnsiTheme="majorHAnsi" w:cstheme="majorHAnsi"/>
                <w:i/>
              </w:rPr>
              <w:t xml:space="preserve"> safety and </w:t>
            </w:r>
            <w:proofErr w:type="spellStart"/>
            <w:r w:rsidRPr="00603F76">
              <w:rPr>
                <w:rFonts w:asciiTheme="majorHAnsi" w:hAnsiTheme="majorHAnsi" w:cstheme="majorHAnsi"/>
                <w:i/>
              </w:rPr>
              <w:t>health</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workers</w:t>
            </w:r>
            <w:proofErr w:type="spellEnd"/>
            <w:r w:rsidRPr="00603F76">
              <w:rPr>
                <w:rFonts w:asciiTheme="majorHAnsi" w:hAnsiTheme="majorHAnsi" w:cstheme="majorHAnsi"/>
                <w:i/>
              </w:rPr>
              <w:t xml:space="preserve"> - </w:t>
            </w:r>
            <w:proofErr w:type="spellStart"/>
            <w:r w:rsidRPr="00603F76">
              <w:rPr>
                <w:rFonts w:asciiTheme="majorHAnsi" w:hAnsiTheme="majorHAnsi" w:cstheme="majorHAnsi"/>
                <w:i/>
              </w:rPr>
              <w:t>paid</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annual</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leave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annulment</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the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dismissal</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by</w:t>
            </w:r>
            <w:proofErr w:type="spellEnd"/>
            <w:r w:rsidRPr="00603F76">
              <w:rPr>
                <w:rFonts w:asciiTheme="majorHAnsi" w:hAnsiTheme="majorHAnsi" w:cstheme="majorHAnsi"/>
                <w:i/>
              </w:rPr>
              <w:t xml:space="preserve"> a </w:t>
            </w:r>
            <w:proofErr w:type="spellStart"/>
            <w:r w:rsidRPr="00603F76">
              <w:rPr>
                <w:rFonts w:asciiTheme="majorHAnsi" w:hAnsiTheme="majorHAnsi" w:cstheme="majorHAnsi"/>
                <w:i/>
              </w:rPr>
              <w:t>court</w:t>
            </w:r>
            <w:proofErr w:type="spellEnd"/>
            <w:r w:rsidRPr="00603F76">
              <w:rPr>
                <w:rFonts w:asciiTheme="majorHAnsi" w:hAnsiTheme="majorHAnsi" w:cstheme="majorHAnsi"/>
                <w:i/>
              </w:rPr>
              <w:t xml:space="preserve"> - </w:t>
            </w:r>
            <w:proofErr w:type="spellStart"/>
            <w:r w:rsidRPr="00603F76">
              <w:rPr>
                <w:rFonts w:asciiTheme="majorHAnsi" w:hAnsiTheme="majorHAnsi" w:cstheme="majorHAnsi"/>
                <w:i/>
              </w:rPr>
              <w:t>right</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to</w:t>
            </w:r>
            <w:proofErr w:type="spellEnd"/>
            <w:r w:rsidRPr="00603F76">
              <w:rPr>
                <w:rFonts w:asciiTheme="majorHAnsi" w:hAnsiTheme="majorHAnsi" w:cstheme="majorHAnsi"/>
                <w:i/>
              </w:rPr>
              <w:t xml:space="preserve"> be a </w:t>
            </w:r>
            <w:proofErr w:type="spellStart"/>
            <w:r w:rsidRPr="00603F76">
              <w:rPr>
                <w:rFonts w:asciiTheme="majorHAnsi" w:hAnsiTheme="majorHAnsi" w:cstheme="majorHAnsi"/>
                <w:i/>
              </w:rPr>
              <w:t>paid</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annual</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leave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for</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the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period</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between</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the</w:t>
            </w:r>
            <w:proofErr w:type="spellEnd"/>
            <w:r w:rsidRPr="00603F76">
              <w:rPr>
                <w:rFonts w:asciiTheme="majorHAnsi" w:hAnsiTheme="majorHAnsi" w:cstheme="majorHAnsi"/>
                <w:i/>
              </w:rPr>
              <w:t xml:space="preserve"> date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the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dismissal</w:t>
            </w:r>
            <w:proofErr w:type="spellEnd"/>
            <w:r w:rsidRPr="00603F76">
              <w:rPr>
                <w:rFonts w:asciiTheme="majorHAnsi" w:hAnsiTheme="majorHAnsi" w:cstheme="majorHAnsi"/>
                <w:i/>
              </w:rPr>
              <w:t xml:space="preserve"> and </w:t>
            </w:r>
            <w:proofErr w:type="spellStart"/>
            <w:r w:rsidRPr="00603F76">
              <w:rPr>
                <w:rFonts w:asciiTheme="majorHAnsi" w:hAnsiTheme="majorHAnsi" w:cstheme="majorHAnsi"/>
                <w:i/>
              </w:rPr>
              <w:t>that</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the</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reinstatement</w:t>
            </w:r>
            <w:proofErr w:type="spellEnd"/>
            <w:r w:rsidRPr="00603F76">
              <w:rPr>
                <w:rFonts w:asciiTheme="majorHAnsi" w:hAnsiTheme="majorHAnsi" w:cstheme="majorHAnsi"/>
                <w:i/>
              </w:rPr>
              <w:t xml:space="preserve"> in </w:t>
            </w:r>
            <w:proofErr w:type="spellStart"/>
            <w:r w:rsidRPr="00603F76">
              <w:rPr>
                <w:rFonts w:asciiTheme="majorHAnsi" w:hAnsiTheme="majorHAnsi" w:cstheme="majorHAnsi"/>
                <w:i/>
              </w:rPr>
              <w:t>his</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or</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her</w:t>
            </w:r>
            <w:proofErr w:type="spellEnd"/>
            <w:r w:rsidRPr="00603F76">
              <w:rPr>
                <w:rFonts w:asciiTheme="majorHAnsi" w:hAnsiTheme="majorHAnsi" w:cstheme="majorHAnsi"/>
                <w:i/>
              </w:rPr>
              <w:t xml:space="preserve"> </w:t>
            </w:r>
            <w:proofErr w:type="spellStart"/>
            <w:r w:rsidRPr="00603F76">
              <w:rPr>
                <w:rFonts w:asciiTheme="majorHAnsi" w:hAnsiTheme="majorHAnsi" w:cstheme="majorHAnsi"/>
                <w:i/>
              </w:rPr>
              <w:t>employment</w:t>
            </w:r>
            <w:proofErr w:type="spellEnd"/>
            <w:r w:rsidRPr="00603F76">
              <w:rPr>
                <w:rFonts w:asciiTheme="majorHAnsi" w:hAnsiTheme="majorHAnsi" w:cstheme="majorHAnsi"/>
                <w:i/>
              </w:rPr>
              <w:t xml:space="preserve"> - </w:t>
            </w:r>
            <w:proofErr w:type="spellStart"/>
            <w:r w:rsidRPr="00603F76">
              <w:rPr>
                <w:rFonts w:asciiTheme="majorHAnsi" w:hAnsiTheme="majorHAnsi" w:cstheme="majorHAnsi"/>
                <w:i/>
              </w:rPr>
              <w:t>article</w:t>
            </w:r>
            <w:proofErr w:type="spellEnd"/>
            <w:r w:rsidRPr="00603F76">
              <w:rPr>
                <w:rFonts w:asciiTheme="majorHAnsi" w:hAnsiTheme="majorHAnsi" w:cstheme="majorHAnsi"/>
                <w:i/>
              </w:rPr>
              <w:t xml:space="preserve"> 7(1) </w:t>
            </w:r>
            <w:proofErr w:type="spellStart"/>
            <w:r w:rsidRPr="00603F76">
              <w:rPr>
                <w:rFonts w:asciiTheme="majorHAnsi" w:hAnsiTheme="majorHAnsi" w:cstheme="majorHAnsi"/>
                <w:i/>
              </w:rPr>
              <w:t>of</w:t>
            </w:r>
            <w:proofErr w:type="spellEnd"/>
            <w:r w:rsidRPr="00603F76">
              <w:rPr>
                <w:rFonts w:asciiTheme="majorHAnsi" w:hAnsiTheme="majorHAnsi" w:cstheme="majorHAnsi"/>
                <w:i/>
              </w:rPr>
              <w:t xml:space="preserve"> Directive 2003/88.</w:t>
            </w:r>
          </w:p>
          <w:p w14:paraId="33115D1E" w14:textId="77777777" w:rsidR="00CF3827" w:rsidRPr="00603F76" w:rsidRDefault="00CF3827" w:rsidP="001B7850">
            <w:pPr>
              <w:jc w:val="both"/>
              <w:rPr>
                <w:rFonts w:asciiTheme="majorHAnsi" w:hAnsiTheme="majorHAnsi" w:cstheme="majorHAnsi"/>
              </w:rPr>
            </w:pPr>
          </w:p>
          <w:p w14:paraId="3C2E111B" w14:textId="77777777" w:rsidR="00CF3827" w:rsidRPr="00603F76" w:rsidRDefault="00CF3827" w:rsidP="001B7850">
            <w:pPr>
              <w:pBdr>
                <w:top w:val="nil"/>
                <w:left w:val="nil"/>
                <w:bottom w:val="nil"/>
                <w:right w:val="nil"/>
                <w:between w:val="nil"/>
              </w:pBdr>
              <w:jc w:val="both"/>
              <w:rPr>
                <w:rFonts w:asciiTheme="majorHAnsi" w:hAnsiTheme="majorHAnsi" w:cstheme="majorHAnsi"/>
                <w:b/>
                <w:bCs/>
                <w:i/>
                <w:iCs/>
              </w:rPr>
            </w:pPr>
            <w:r w:rsidRPr="00603F76">
              <w:rPr>
                <w:rFonts w:asciiTheme="majorHAnsi" w:hAnsiTheme="majorHAnsi" w:cstheme="majorHAnsi"/>
                <w:b/>
                <w:bCs/>
                <w:color w:val="000000"/>
              </w:rPr>
              <w:t xml:space="preserve">ECJ, </w:t>
            </w:r>
            <w:proofErr w:type="spellStart"/>
            <w:r w:rsidRPr="00603F76">
              <w:rPr>
                <w:rFonts w:asciiTheme="majorHAnsi" w:hAnsiTheme="majorHAnsi" w:cstheme="majorHAnsi"/>
                <w:b/>
                <w:bCs/>
                <w:color w:val="000000"/>
              </w:rPr>
              <w:t>Grd</w:t>
            </w:r>
            <w:proofErr w:type="spellEnd"/>
            <w:r w:rsidRPr="00603F76">
              <w:rPr>
                <w:rFonts w:asciiTheme="majorHAnsi" w:hAnsiTheme="majorHAnsi" w:cstheme="majorHAnsi"/>
                <w:b/>
                <w:bCs/>
                <w:color w:val="000000"/>
              </w:rPr>
              <w:t xml:space="preserve">. Ch., C-609/17 and C 610/17, 19/11/2019, </w:t>
            </w:r>
            <w:proofErr w:type="spellStart"/>
            <w:r w:rsidRPr="00603F76">
              <w:rPr>
                <w:rFonts w:asciiTheme="majorHAnsi" w:hAnsiTheme="majorHAnsi" w:cstheme="majorHAnsi"/>
                <w:b/>
                <w:bCs/>
                <w:i/>
                <w:iCs/>
                <w:color w:val="000000"/>
              </w:rPr>
              <w:t>Terveys</w:t>
            </w:r>
            <w:proofErr w:type="spellEnd"/>
            <w:r w:rsidRPr="00603F76">
              <w:rPr>
                <w:rFonts w:asciiTheme="majorHAnsi" w:hAnsiTheme="majorHAnsi" w:cstheme="majorHAnsi"/>
                <w:b/>
                <w:bCs/>
                <w:i/>
                <w:iCs/>
                <w:color w:val="000000"/>
              </w:rPr>
              <w:t xml:space="preserve">-ja </w:t>
            </w:r>
            <w:proofErr w:type="spellStart"/>
            <w:r w:rsidRPr="00603F76">
              <w:rPr>
                <w:rFonts w:asciiTheme="majorHAnsi" w:hAnsiTheme="majorHAnsi" w:cstheme="majorHAnsi"/>
                <w:b/>
                <w:bCs/>
                <w:i/>
                <w:iCs/>
                <w:color w:val="000000"/>
              </w:rPr>
              <w:t>sociaalialan</w:t>
            </w:r>
            <w:proofErr w:type="spellEnd"/>
            <w:r w:rsidRPr="00603F76">
              <w:rPr>
                <w:rFonts w:asciiTheme="majorHAnsi" w:hAnsiTheme="majorHAnsi" w:cstheme="majorHAnsi"/>
                <w:b/>
                <w:bCs/>
                <w:i/>
                <w:iCs/>
                <w:color w:val="000000"/>
              </w:rPr>
              <w:t xml:space="preserve"> </w:t>
            </w:r>
            <w:proofErr w:type="spellStart"/>
            <w:r w:rsidRPr="00603F76">
              <w:rPr>
                <w:rFonts w:asciiTheme="majorHAnsi" w:hAnsiTheme="majorHAnsi" w:cstheme="majorHAnsi"/>
                <w:b/>
                <w:bCs/>
                <w:i/>
                <w:iCs/>
                <w:color w:val="000000"/>
              </w:rPr>
              <w:t>neuvottelujarjesto</w:t>
            </w:r>
            <w:proofErr w:type="spellEnd"/>
            <w:r w:rsidRPr="00603F76">
              <w:rPr>
                <w:rFonts w:asciiTheme="majorHAnsi" w:hAnsiTheme="majorHAnsi" w:cstheme="majorHAnsi"/>
                <w:b/>
                <w:bCs/>
                <w:i/>
                <w:iCs/>
                <w:color w:val="000000"/>
              </w:rPr>
              <w:t xml:space="preserve"> </w:t>
            </w:r>
            <w:proofErr w:type="spellStart"/>
            <w:r w:rsidRPr="00603F76">
              <w:rPr>
                <w:rFonts w:asciiTheme="majorHAnsi" w:hAnsiTheme="majorHAnsi" w:cstheme="majorHAnsi"/>
                <w:b/>
                <w:bCs/>
                <w:i/>
                <w:iCs/>
                <w:color w:val="000000"/>
              </w:rPr>
              <w:t>ry</w:t>
            </w:r>
            <w:proofErr w:type="spellEnd"/>
            <w:r w:rsidRPr="00603F76">
              <w:rPr>
                <w:rFonts w:asciiTheme="majorHAnsi" w:hAnsiTheme="majorHAnsi" w:cstheme="majorHAnsi"/>
                <w:b/>
                <w:bCs/>
                <w:i/>
                <w:iCs/>
                <w:color w:val="000000"/>
              </w:rPr>
              <w:t xml:space="preserve"> v </w:t>
            </w:r>
            <w:proofErr w:type="spellStart"/>
            <w:r w:rsidRPr="00603F76">
              <w:rPr>
                <w:rFonts w:asciiTheme="majorHAnsi" w:hAnsiTheme="majorHAnsi" w:cstheme="majorHAnsi"/>
                <w:b/>
                <w:bCs/>
                <w:i/>
                <w:iCs/>
                <w:color w:val="000000"/>
              </w:rPr>
              <w:t>hyvinvointialan</w:t>
            </w:r>
            <w:proofErr w:type="spellEnd"/>
            <w:r w:rsidRPr="00603F76">
              <w:rPr>
                <w:rFonts w:asciiTheme="majorHAnsi" w:hAnsiTheme="majorHAnsi" w:cstheme="majorHAnsi"/>
                <w:b/>
                <w:bCs/>
                <w:i/>
                <w:iCs/>
                <w:color w:val="000000"/>
              </w:rPr>
              <w:t xml:space="preserve"> </w:t>
            </w:r>
            <w:proofErr w:type="spellStart"/>
            <w:r w:rsidRPr="00603F76">
              <w:rPr>
                <w:rFonts w:asciiTheme="majorHAnsi" w:hAnsiTheme="majorHAnsi" w:cstheme="majorHAnsi"/>
                <w:b/>
                <w:bCs/>
                <w:i/>
                <w:iCs/>
                <w:color w:val="000000"/>
              </w:rPr>
              <w:t>liitto</w:t>
            </w:r>
            <w:proofErr w:type="spellEnd"/>
            <w:r w:rsidRPr="00603F76">
              <w:rPr>
                <w:rFonts w:asciiTheme="majorHAnsi" w:hAnsiTheme="majorHAnsi" w:cstheme="majorHAnsi"/>
                <w:b/>
                <w:bCs/>
                <w:i/>
                <w:iCs/>
                <w:color w:val="000000"/>
              </w:rPr>
              <w:t xml:space="preserve"> </w:t>
            </w:r>
            <w:proofErr w:type="spellStart"/>
            <w:r w:rsidRPr="00603F76">
              <w:rPr>
                <w:rFonts w:asciiTheme="majorHAnsi" w:hAnsiTheme="majorHAnsi" w:cstheme="majorHAnsi"/>
                <w:b/>
                <w:bCs/>
                <w:i/>
                <w:iCs/>
                <w:color w:val="000000"/>
              </w:rPr>
              <w:t>ry</w:t>
            </w:r>
            <w:proofErr w:type="spellEnd"/>
          </w:p>
          <w:p w14:paraId="4E52FE0B" w14:textId="77777777" w:rsidR="00CF3827" w:rsidRPr="00603F76" w:rsidRDefault="00CF3827" w:rsidP="001B7850">
            <w:pPr>
              <w:jc w:val="both"/>
              <w:rPr>
                <w:rFonts w:asciiTheme="majorHAnsi" w:hAnsiTheme="majorHAnsi" w:cstheme="majorHAnsi"/>
                <w:i/>
                <w:iCs/>
              </w:rPr>
            </w:pPr>
            <w:proofErr w:type="spellStart"/>
            <w:r w:rsidRPr="00603F76">
              <w:rPr>
                <w:rFonts w:asciiTheme="majorHAnsi" w:hAnsiTheme="majorHAnsi" w:cstheme="majorHAnsi"/>
                <w:i/>
                <w:iCs/>
              </w:rPr>
              <w:t>Keywords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Protection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safety and </w:t>
            </w:r>
            <w:proofErr w:type="spellStart"/>
            <w:r w:rsidRPr="00603F76">
              <w:rPr>
                <w:rFonts w:asciiTheme="majorHAnsi" w:hAnsiTheme="majorHAnsi" w:cstheme="majorHAnsi"/>
                <w:i/>
                <w:iCs/>
              </w:rPr>
              <w:t>health</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workers</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Right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to</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paid</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annual</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leave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at </w:t>
            </w:r>
            <w:proofErr w:type="spellStart"/>
            <w:r w:rsidRPr="00603F76">
              <w:rPr>
                <w:rFonts w:asciiTheme="majorHAnsi" w:hAnsiTheme="majorHAnsi" w:cstheme="majorHAnsi"/>
                <w:i/>
                <w:iCs/>
              </w:rPr>
              <w:t>least</w:t>
            </w:r>
            <w:proofErr w:type="spellEnd"/>
            <w:r w:rsidRPr="00603F76">
              <w:rPr>
                <w:rFonts w:asciiTheme="majorHAnsi" w:hAnsiTheme="majorHAnsi" w:cstheme="majorHAnsi"/>
                <w:i/>
                <w:iCs/>
              </w:rPr>
              <w:t xml:space="preserve"> 4 </w:t>
            </w:r>
            <w:proofErr w:type="spellStart"/>
            <w:r w:rsidRPr="00603F76">
              <w:rPr>
                <w:rFonts w:asciiTheme="majorHAnsi" w:hAnsiTheme="majorHAnsi" w:cstheme="majorHAnsi"/>
                <w:i/>
                <w:iCs/>
              </w:rPr>
              <w:t>weeks</w:t>
            </w:r>
            <w:proofErr w:type="spellEnd"/>
            <w:r w:rsidRPr="00603F76">
              <w:rPr>
                <w:rFonts w:asciiTheme="majorHAnsi" w:hAnsiTheme="majorHAnsi" w:cstheme="majorHAnsi"/>
                <w:i/>
                <w:iCs/>
              </w:rPr>
              <w:t xml:space="preserve"> in case </w:t>
            </w:r>
            <w:proofErr w:type="spellStart"/>
            <w:r w:rsidRPr="00603F76">
              <w:rPr>
                <w:rFonts w:asciiTheme="majorHAnsi" w:hAnsiTheme="majorHAnsi" w:cstheme="majorHAnsi"/>
                <w:i/>
                <w:iCs/>
              </w:rPr>
              <w:t>illness</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article</w:t>
            </w:r>
            <w:proofErr w:type="spellEnd"/>
            <w:r w:rsidRPr="00603F76">
              <w:rPr>
                <w:rFonts w:asciiTheme="majorHAnsi" w:hAnsiTheme="majorHAnsi" w:cstheme="majorHAnsi"/>
                <w:i/>
                <w:iCs/>
              </w:rPr>
              <w:t xml:space="preserve"> 7(1)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Directive 2003/88/EC.</w:t>
            </w:r>
          </w:p>
          <w:p w14:paraId="60E8BF8A" w14:textId="77777777" w:rsidR="00CF3827" w:rsidRPr="0082549D" w:rsidRDefault="00CF3827" w:rsidP="001B7850">
            <w:pPr>
              <w:pBdr>
                <w:top w:val="nil"/>
                <w:left w:val="nil"/>
                <w:bottom w:val="nil"/>
                <w:right w:val="nil"/>
                <w:between w:val="nil"/>
              </w:pBdr>
              <w:jc w:val="both"/>
              <w:rPr>
                <w:rFonts w:asciiTheme="majorHAnsi" w:hAnsiTheme="majorHAnsi" w:cstheme="majorHAnsi"/>
                <w:b/>
                <w:bCs/>
                <w:color w:val="000000"/>
              </w:rPr>
            </w:pPr>
          </w:p>
          <w:p w14:paraId="5C08FF47" w14:textId="77777777" w:rsidR="00CF3827" w:rsidRPr="00603F76" w:rsidRDefault="00CF3827" w:rsidP="001B7850">
            <w:pPr>
              <w:pBdr>
                <w:top w:val="nil"/>
                <w:left w:val="nil"/>
                <w:bottom w:val="nil"/>
                <w:right w:val="nil"/>
                <w:between w:val="nil"/>
              </w:pBdr>
              <w:jc w:val="both"/>
              <w:rPr>
                <w:rFonts w:asciiTheme="majorHAnsi" w:hAnsiTheme="majorHAnsi" w:cstheme="majorHAnsi"/>
                <w:b/>
                <w:bCs/>
                <w:i/>
                <w:iCs/>
                <w:lang w:val="de-DE"/>
              </w:rPr>
            </w:pPr>
            <w:r w:rsidRPr="00603F76">
              <w:rPr>
                <w:rFonts w:asciiTheme="majorHAnsi" w:hAnsiTheme="majorHAnsi" w:cstheme="majorHAnsi"/>
                <w:b/>
                <w:bCs/>
                <w:color w:val="000000"/>
                <w:lang w:val="de-DE"/>
              </w:rPr>
              <w:t xml:space="preserve">ECJ, </w:t>
            </w:r>
            <w:proofErr w:type="spellStart"/>
            <w:r w:rsidRPr="00603F76">
              <w:rPr>
                <w:rFonts w:asciiTheme="majorHAnsi" w:hAnsiTheme="majorHAnsi" w:cstheme="majorHAnsi"/>
                <w:b/>
                <w:bCs/>
                <w:color w:val="000000"/>
                <w:lang w:val="de-DE"/>
              </w:rPr>
              <w:t>Grd</w:t>
            </w:r>
            <w:proofErr w:type="spellEnd"/>
            <w:r w:rsidRPr="00603F76">
              <w:rPr>
                <w:rFonts w:asciiTheme="majorHAnsi" w:hAnsiTheme="majorHAnsi" w:cstheme="majorHAnsi"/>
                <w:b/>
                <w:bCs/>
                <w:color w:val="000000"/>
                <w:lang w:val="de-DE"/>
              </w:rPr>
              <w:t xml:space="preserve">. Ch., C-684/16, 06/11/2018, </w:t>
            </w:r>
            <w:r w:rsidRPr="00603F76">
              <w:rPr>
                <w:rFonts w:asciiTheme="majorHAnsi" w:hAnsiTheme="majorHAnsi" w:cstheme="majorHAnsi"/>
                <w:b/>
                <w:bCs/>
                <w:i/>
                <w:iCs/>
                <w:color w:val="000000"/>
                <w:lang w:val="de-DE"/>
              </w:rPr>
              <w:t xml:space="preserve">Max-Planck-Gesellschaft zur Förderung der Wissenschaften e.V. v </w:t>
            </w:r>
            <w:proofErr w:type="spellStart"/>
            <w:r w:rsidRPr="00603F76">
              <w:rPr>
                <w:rFonts w:asciiTheme="majorHAnsi" w:hAnsiTheme="majorHAnsi" w:cstheme="majorHAnsi"/>
                <w:b/>
                <w:bCs/>
                <w:i/>
                <w:iCs/>
                <w:color w:val="000000"/>
                <w:lang w:val="de-DE"/>
              </w:rPr>
              <w:t>Tetsuji</w:t>
            </w:r>
            <w:proofErr w:type="spellEnd"/>
            <w:r w:rsidRPr="00603F76">
              <w:rPr>
                <w:rFonts w:asciiTheme="majorHAnsi" w:hAnsiTheme="majorHAnsi" w:cstheme="majorHAnsi"/>
                <w:b/>
                <w:bCs/>
                <w:i/>
                <w:iCs/>
                <w:color w:val="000000"/>
                <w:lang w:val="de-DE"/>
              </w:rPr>
              <w:t xml:space="preserve"> Shimizu,</w:t>
            </w:r>
          </w:p>
          <w:p w14:paraId="60362114" w14:textId="77777777" w:rsidR="00CF3827" w:rsidRPr="00603F76" w:rsidRDefault="00CF3827" w:rsidP="001B7850">
            <w:pPr>
              <w:jc w:val="both"/>
              <w:rPr>
                <w:rFonts w:asciiTheme="majorHAnsi" w:hAnsiTheme="majorHAnsi" w:cstheme="majorHAnsi"/>
                <w:i/>
                <w:iCs/>
              </w:rPr>
            </w:pPr>
            <w:proofErr w:type="spellStart"/>
            <w:r w:rsidRPr="00603F76">
              <w:rPr>
                <w:rFonts w:asciiTheme="majorHAnsi" w:hAnsiTheme="majorHAnsi" w:cstheme="majorHAnsi"/>
                <w:i/>
                <w:iCs/>
              </w:rPr>
              <w:lastRenderedPageBreak/>
              <w:t>Keywords</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Protection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safety and </w:t>
            </w:r>
            <w:proofErr w:type="spellStart"/>
            <w:r w:rsidRPr="00603F76">
              <w:rPr>
                <w:rFonts w:asciiTheme="majorHAnsi" w:hAnsiTheme="majorHAnsi" w:cstheme="majorHAnsi"/>
                <w:i/>
                <w:iCs/>
              </w:rPr>
              <w:t>health</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workers</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Right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to</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paid</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annual</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leave</w:t>
            </w:r>
            <w:proofErr w:type="spellEnd"/>
            <w:r w:rsidRPr="00603F76">
              <w:rPr>
                <w:rFonts w:asciiTheme="majorHAnsi" w:hAnsiTheme="majorHAnsi" w:cstheme="majorHAnsi"/>
                <w:i/>
                <w:iCs/>
              </w:rPr>
              <w:t xml:space="preserve"> in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event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termination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the</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employment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relationship</w:t>
            </w:r>
            <w:proofErr w:type="spellEnd"/>
            <w:r w:rsidRPr="00603F76">
              <w:rPr>
                <w:rFonts w:asciiTheme="majorHAnsi" w:hAnsiTheme="majorHAnsi" w:cstheme="majorHAnsi"/>
                <w:i/>
                <w:iCs/>
              </w:rPr>
              <w:t xml:space="preserve"> - </w:t>
            </w:r>
            <w:proofErr w:type="spellStart"/>
            <w:r w:rsidRPr="00603F76">
              <w:rPr>
                <w:rFonts w:asciiTheme="majorHAnsi" w:hAnsiTheme="majorHAnsi" w:cstheme="majorHAnsi"/>
                <w:i/>
                <w:iCs/>
              </w:rPr>
              <w:t>Obligation</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to</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interpret</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national</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law</w:t>
            </w:r>
            <w:proofErr w:type="spellEnd"/>
            <w:r w:rsidRPr="00603F76">
              <w:rPr>
                <w:rFonts w:asciiTheme="majorHAnsi" w:hAnsiTheme="majorHAnsi" w:cstheme="majorHAnsi"/>
                <w:i/>
                <w:iCs/>
              </w:rPr>
              <w:t xml:space="preserve"> in </w:t>
            </w:r>
            <w:proofErr w:type="spellStart"/>
            <w:r w:rsidRPr="00603F76">
              <w:rPr>
                <w:rFonts w:asciiTheme="majorHAnsi" w:hAnsiTheme="majorHAnsi" w:cstheme="majorHAnsi"/>
                <w:i/>
                <w:iCs/>
              </w:rPr>
              <w:t>conformity</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with</w:t>
            </w:r>
            <w:proofErr w:type="spellEnd"/>
            <w:r w:rsidRPr="00603F76">
              <w:rPr>
                <w:rFonts w:asciiTheme="majorHAnsi" w:hAnsiTheme="majorHAnsi" w:cstheme="majorHAnsi"/>
                <w:i/>
                <w:iCs/>
              </w:rPr>
              <w:t xml:space="preserve"> EU </w:t>
            </w:r>
            <w:proofErr w:type="spellStart"/>
            <w:r w:rsidRPr="00603F76">
              <w:rPr>
                <w:rFonts w:asciiTheme="majorHAnsi" w:hAnsiTheme="majorHAnsi" w:cstheme="majorHAnsi"/>
                <w:i/>
                <w:iCs/>
              </w:rPr>
              <w:t>law</w:t>
            </w:r>
            <w:proofErr w:type="spellEnd"/>
            <w:r w:rsidRPr="00603F76">
              <w:rPr>
                <w:rFonts w:asciiTheme="majorHAnsi" w:hAnsiTheme="majorHAnsi" w:cstheme="majorHAnsi"/>
                <w:i/>
                <w:iCs/>
              </w:rPr>
              <w:t xml:space="preserve">, </w:t>
            </w:r>
            <w:proofErr w:type="spellStart"/>
            <w:r w:rsidRPr="00603F76">
              <w:rPr>
                <w:rFonts w:asciiTheme="majorHAnsi" w:hAnsiTheme="majorHAnsi" w:cstheme="majorHAnsi"/>
                <w:i/>
                <w:iCs/>
              </w:rPr>
              <w:t>article</w:t>
            </w:r>
            <w:proofErr w:type="spellEnd"/>
            <w:r w:rsidRPr="00603F76">
              <w:rPr>
                <w:rFonts w:asciiTheme="majorHAnsi" w:hAnsiTheme="majorHAnsi" w:cstheme="majorHAnsi"/>
                <w:i/>
                <w:iCs/>
              </w:rPr>
              <w:t xml:space="preserve"> 7 </w:t>
            </w:r>
            <w:proofErr w:type="spellStart"/>
            <w:r w:rsidRPr="00603F76">
              <w:rPr>
                <w:rFonts w:asciiTheme="majorHAnsi" w:hAnsiTheme="majorHAnsi" w:cstheme="majorHAnsi"/>
                <w:i/>
                <w:iCs/>
              </w:rPr>
              <w:t>of</w:t>
            </w:r>
            <w:proofErr w:type="spellEnd"/>
            <w:r w:rsidRPr="00603F76">
              <w:rPr>
                <w:rFonts w:asciiTheme="majorHAnsi" w:hAnsiTheme="majorHAnsi" w:cstheme="majorHAnsi"/>
                <w:i/>
                <w:iCs/>
              </w:rPr>
              <w:t xml:space="preserve"> Directive 2003/88.</w:t>
            </w:r>
          </w:p>
          <w:p w14:paraId="5C7CACBA" w14:textId="1D811ED0" w:rsidR="00CF3827" w:rsidRPr="00CD3B67" w:rsidRDefault="00CF3827" w:rsidP="001B7850">
            <w:pPr>
              <w:pStyle w:val="NormalWeb"/>
              <w:spacing w:before="0" w:beforeAutospacing="0" w:after="0" w:afterAutospacing="0"/>
              <w:jc w:val="both"/>
              <w:rPr>
                <w:rFonts w:asciiTheme="minorHAnsi" w:hAnsiTheme="minorHAnsi" w:cstheme="minorHAnsi"/>
              </w:rPr>
            </w:pPr>
          </w:p>
        </w:tc>
      </w:tr>
      <w:tr w:rsidR="00CF3827" w:rsidRPr="008E2D64" w14:paraId="4058ADFD" w14:textId="77777777" w:rsidTr="00541A2A">
        <w:tc>
          <w:tcPr>
            <w:tcW w:w="8494" w:type="dxa"/>
          </w:tcPr>
          <w:p w14:paraId="7A523F70" w14:textId="77777777" w:rsidR="00CF3827" w:rsidRPr="009F095C" w:rsidRDefault="00CF3827" w:rsidP="001B7850">
            <w:pPr>
              <w:jc w:val="both"/>
              <w:rPr>
                <w:rFonts w:ascii="Calibri" w:hAnsi="Calibri" w:cs="Calibri"/>
                <w:b/>
                <w:bCs/>
                <w:sz w:val="28"/>
                <w:szCs w:val="28"/>
                <w:lang w:val="en-US"/>
              </w:rPr>
            </w:pPr>
            <w:r w:rsidRPr="009F095C">
              <w:rPr>
                <w:rFonts w:ascii="Calibri" w:hAnsi="Calibri" w:cs="Calibri"/>
                <w:b/>
                <w:bCs/>
                <w:color w:val="0070C0"/>
                <w:sz w:val="28"/>
                <w:szCs w:val="28"/>
                <w:lang w:val="en-US"/>
              </w:rPr>
              <w:lastRenderedPageBreak/>
              <w:t>Highlights</w:t>
            </w:r>
          </w:p>
        </w:tc>
      </w:tr>
      <w:tr w:rsidR="00CF3827" w:rsidRPr="008E2D64" w14:paraId="152D4BB4" w14:textId="77777777" w:rsidTr="00541A2A">
        <w:tc>
          <w:tcPr>
            <w:tcW w:w="8494" w:type="dxa"/>
          </w:tcPr>
          <w:p w14:paraId="28CB9D99" w14:textId="77777777" w:rsidR="00CF3827" w:rsidRPr="00137163" w:rsidRDefault="00CF3827" w:rsidP="001B7850">
            <w:pPr>
              <w:spacing w:before="100" w:beforeAutospacing="1" w:after="100" w:afterAutospacing="1"/>
              <w:jc w:val="both"/>
              <w:rPr>
                <w:rFonts w:ascii="Calibri Light" w:eastAsia="Times New Roman" w:hAnsi="Calibri Light" w:cs="Calibri Light"/>
                <w:lang w:eastAsia="fr-FR"/>
              </w:rPr>
            </w:pPr>
            <w:proofErr w:type="spellStart"/>
            <w:r w:rsidRPr="00137163">
              <w:rPr>
                <w:rFonts w:ascii="Calibri Light" w:eastAsia="Times New Roman" w:hAnsi="Calibri Light" w:cs="Calibri Light"/>
                <w:b/>
                <w:bCs/>
                <w:lang w:eastAsia="fr-FR"/>
              </w:rPr>
              <w:t>Protection</w:t>
            </w:r>
            <w:proofErr w:type="spellEnd"/>
            <w:r w:rsidRPr="00137163">
              <w:rPr>
                <w:rFonts w:ascii="Calibri Light" w:eastAsia="Times New Roman" w:hAnsi="Calibri Light" w:cs="Calibri Light"/>
                <w:b/>
                <w:bCs/>
                <w:lang w:eastAsia="fr-FR"/>
              </w:rPr>
              <w:t xml:space="preserve"> </w:t>
            </w:r>
            <w:proofErr w:type="spellStart"/>
            <w:r w:rsidRPr="00137163">
              <w:rPr>
                <w:rFonts w:ascii="Calibri Light" w:eastAsia="Times New Roman" w:hAnsi="Calibri Light" w:cs="Calibri Light"/>
                <w:b/>
                <w:bCs/>
                <w:lang w:eastAsia="fr-FR"/>
              </w:rPr>
              <w:t>for</w:t>
            </w:r>
            <w:proofErr w:type="spellEnd"/>
            <w:r w:rsidRPr="00137163">
              <w:rPr>
                <w:rFonts w:ascii="Calibri Light" w:eastAsia="Times New Roman" w:hAnsi="Calibri Light" w:cs="Calibri Light"/>
                <w:b/>
                <w:bCs/>
                <w:lang w:eastAsia="fr-FR"/>
              </w:rPr>
              <w:t xml:space="preserve"> EU </w:t>
            </w:r>
            <w:proofErr w:type="spellStart"/>
            <w:r w:rsidRPr="00137163">
              <w:rPr>
                <w:rFonts w:ascii="Calibri Light" w:eastAsia="Times New Roman" w:hAnsi="Calibri Light" w:cs="Calibri Light"/>
                <w:b/>
                <w:bCs/>
                <w:lang w:eastAsia="fr-FR"/>
              </w:rPr>
              <w:t>Employees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Article</w:t>
            </w:r>
            <w:proofErr w:type="spellEnd"/>
            <w:r w:rsidRPr="00137163">
              <w:rPr>
                <w:rFonts w:ascii="Calibri Light" w:eastAsia="Times New Roman" w:hAnsi="Calibri Light" w:cs="Calibri Light"/>
                <w:lang w:eastAsia="fr-FR"/>
              </w:rPr>
              <w:t xml:space="preserve"> 31 </w:t>
            </w:r>
            <w:proofErr w:type="spellStart"/>
            <w:r w:rsidRPr="00137163">
              <w:rPr>
                <w:rFonts w:ascii="Calibri Light" w:eastAsia="Times New Roman" w:hAnsi="Calibri Light" w:cs="Calibri Light"/>
                <w:lang w:eastAsia="fr-FR"/>
              </w:rPr>
              <w:t>offers</w:t>
            </w:r>
            <w:proofErr w:type="spellEnd"/>
            <w:r w:rsidRPr="00137163">
              <w:rPr>
                <w:rFonts w:ascii="Calibri Light" w:eastAsia="Times New Roman" w:hAnsi="Calibri Light" w:cs="Calibri Light"/>
                <w:lang w:eastAsia="fr-FR"/>
              </w:rPr>
              <w:t xml:space="preserve"> a </w:t>
            </w:r>
            <w:proofErr w:type="spellStart"/>
            <w:r w:rsidRPr="00137163">
              <w:rPr>
                <w:rFonts w:ascii="Calibri Light" w:eastAsia="Times New Roman" w:hAnsi="Calibri Light" w:cs="Calibri Light"/>
                <w:lang w:eastAsia="fr-FR"/>
              </w:rPr>
              <w:t>valuable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tool</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for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addressing</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workplace</w:t>
            </w:r>
            <w:proofErr w:type="spellEnd"/>
            <w:r w:rsidRPr="00137163">
              <w:rPr>
                <w:rFonts w:ascii="Calibri Light" w:eastAsia="Times New Roman" w:hAnsi="Calibri Light" w:cs="Calibri Light"/>
                <w:lang w:eastAsia="fr-FR"/>
              </w:rPr>
              <w:t xml:space="preserve"> disputes </w:t>
            </w:r>
            <w:proofErr w:type="spellStart"/>
            <w:r w:rsidRPr="00137163">
              <w:rPr>
                <w:rFonts w:ascii="Calibri Light" w:eastAsia="Times New Roman" w:hAnsi="Calibri Light" w:cs="Calibri Light"/>
                <w:lang w:eastAsia="fr-FR"/>
              </w:rPr>
              <w:t>within</w:t>
            </w:r>
            <w:proofErr w:type="spellEnd"/>
            <w:r w:rsidRPr="00137163">
              <w:rPr>
                <w:rFonts w:ascii="Calibri Light" w:eastAsia="Times New Roman" w:hAnsi="Calibri Light" w:cs="Calibri Light"/>
                <w:lang w:eastAsia="fr-FR"/>
              </w:rPr>
              <w:t xml:space="preserve"> EU </w:t>
            </w:r>
            <w:proofErr w:type="spellStart"/>
            <w:r w:rsidRPr="00137163">
              <w:rPr>
                <w:rFonts w:ascii="Calibri Light" w:eastAsia="Times New Roman" w:hAnsi="Calibri Light" w:cs="Calibri Light"/>
                <w:lang w:eastAsia="fr-FR"/>
              </w:rPr>
              <w:t>institutions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Lawyers</w:t>
            </w:r>
            <w:proofErr w:type="spellEnd"/>
            <w:r w:rsidRPr="00137163">
              <w:rPr>
                <w:rFonts w:ascii="Calibri Light" w:eastAsia="Times New Roman" w:hAnsi="Calibri Light" w:cs="Calibri Light"/>
                <w:lang w:eastAsia="fr-FR"/>
              </w:rPr>
              <w:t xml:space="preserve"> can use </w:t>
            </w:r>
            <w:proofErr w:type="spellStart"/>
            <w:r w:rsidRPr="00137163">
              <w:rPr>
                <w:rFonts w:ascii="Calibri Light" w:eastAsia="Times New Roman" w:hAnsi="Calibri Light" w:cs="Calibri Light"/>
                <w:lang w:eastAsia="fr-FR"/>
              </w:rPr>
              <w:t>it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to</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advocate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for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fair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treatment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especially</w:t>
            </w:r>
            <w:proofErr w:type="spellEnd"/>
            <w:r w:rsidRPr="00137163">
              <w:rPr>
                <w:rFonts w:ascii="Calibri Light" w:eastAsia="Times New Roman" w:hAnsi="Calibri Light" w:cs="Calibri Light"/>
                <w:lang w:eastAsia="fr-FR"/>
              </w:rPr>
              <w:t xml:space="preserve"> in cases </w:t>
            </w:r>
            <w:proofErr w:type="spellStart"/>
            <w:r w:rsidRPr="00137163">
              <w:rPr>
                <w:rFonts w:ascii="Calibri Light" w:eastAsia="Times New Roman" w:hAnsi="Calibri Light" w:cs="Calibri Light"/>
                <w:lang w:eastAsia="fr-FR"/>
              </w:rPr>
              <w:t>involving</w:t>
            </w:r>
            <w:proofErr w:type="spellEnd"/>
            <w:r w:rsidRPr="00137163">
              <w:rPr>
                <w:rFonts w:ascii="Calibri Light" w:eastAsia="Times New Roman" w:hAnsi="Calibri Light" w:cs="Calibri Light"/>
                <w:lang w:eastAsia="fr-FR"/>
              </w:rPr>
              <w:t xml:space="preserve"> EU-</w:t>
            </w:r>
            <w:proofErr w:type="spellStart"/>
            <w:r w:rsidRPr="00137163">
              <w:rPr>
                <w:rFonts w:ascii="Calibri Light" w:eastAsia="Times New Roman" w:hAnsi="Calibri Light" w:cs="Calibri Light"/>
                <w:lang w:eastAsia="fr-FR"/>
              </w:rPr>
              <w:t>employed</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individuals</w:t>
            </w:r>
            <w:proofErr w:type="spellEnd"/>
            <w:r w:rsidRPr="00137163">
              <w:rPr>
                <w:rFonts w:ascii="Calibri Light" w:eastAsia="Times New Roman" w:hAnsi="Calibri Light" w:cs="Calibri Light"/>
                <w:lang w:eastAsia="fr-FR"/>
              </w:rPr>
              <w:t>.</w:t>
            </w:r>
          </w:p>
          <w:p w14:paraId="2669C40F" w14:textId="77777777" w:rsidR="00CF3827" w:rsidRPr="00137163" w:rsidRDefault="00CF3827" w:rsidP="001B7850">
            <w:pPr>
              <w:spacing w:before="100" w:beforeAutospacing="1" w:after="100" w:afterAutospacing="1"/>
              <w:jc w:val="both"/>
              <w:rPr>
                <w:rFonts w:ascii="Calibri Light" w:eastAsia="Times New Roman" w:hAnsi="Calibri Light" w:cs="Calibri Light"/>
                <w:lang w:eastAsia="fr-FR"/>
              </w:rPr>
            </w:pPr>
            <w:proofErr w:type="spellStart"/>
            <w:r w:rsidRPr="00137163">
              <w:rPr>
                <w:rFonts w:ascii="Calibri Light" w:eastAsia="Times New Roman" w:hAnsi="Calibri Light" w:cs="Calibri Light"/>
                <w:b/>
                <w:bCs/>
                <w:lang w:eastAsia="fr-FR"/>
              </w:rPr>
              <w:t>Broader</w:t>
            </w:r>
            <w:proofErr w:type="spellEnd"/>
            <w:r w:rsidRPr="00137163">
              <w:rPr>
                <w:rFonts w:ascii="Calibri Light" w:eastAsia="Times New Roman" w:hAnsi="Calibri Light" w:cs="Calibri Light"/>
                <w:b/>
                <w:bCs/>
                <w:lang w:eastAsia="fr-FR"/>
              </w:rPr>
              <w:t xml:space="preserve"> Social </w:t>
            </w:r>
            <w:proofErr w:type="spellStart"/>
            <w:r w:rsidRPr="00137163">
              <w:rPr>
                <w:rFonts w:ascii="Calibri Light" w:eastAsia="Times New Roman" w:hAnsi="Calibri Light" w:cs="Calibri Light"/>
                <w:b/>
                <w:bCs/>
                <w:lang w:eastAsia="fr-FR"/>
              </w:rPr>
              <w:t>Rights</w:t>
            </w:r>
            <w:proofErr w:type="spellEnd"/>
            <w:r w:rsidRPr="00137163">
              <w:rPr>
                <w:rFonts w:ascii="Calibri Light" w:eastAsia="Times New Roman" w:hAnsi="Calibri Light" w:cs="Calibri Light"/>
                <w:b/>
                <w:bCs/>
                <w:lang w:eastAsia="fr-FR"/>
              </w:rPr>
              <w:t xml:space="preserve"> </w:t>
            </w:r>
            <w:proofErr w:type="spellStart"/>
            <w:r w:rsidRPr="00137163">
              <w:rPr>
                <w:rFonts w:ascii="Calibri Light" w:eastAsia="Times New Roman" w:hAnsi="Calibri Light" w:cs="Calibri Light"/>
                <w:b/>
                <w:bCs/>
                <w:lang w:eastAsia="fr-FR"/>
              </w:rPr>
              <w:t>Context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While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European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Convention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on</w:t>
            </w:r>
            <w:proofErr w:type="spellEnd"/>
            <w:r w:rsidRPr="00137163">
              <w:rPr>
                <w:rFonts w:ascii="Calibri Light" w:eastAsia="Times New Roman" w:hAnsi="Calibri Light" w:cs="Calibri Light"/>
                <w:lang w:eastAsia="fr-FR"/>
              </w:rPr>
              <w:t xml:space="preserve"> Human </w:t>
            </w:r>
            <w:proofErr w:type="spellStart"/>
            <w:r w:rsidRPr="00137163">
              <w:rPr>
                <w:rFonts w:ascii="Calibri Light" w:eastAsia="Times New Roman" w:hAnsi="Calibri Light" w:cs="Calibri Light"/>
                <w:lang w:eastAsia="fr-FR"/>
              </w:rPr>
              <w:t>Rights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provides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limited</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protections</w:t>
            </w:r>
            <w:proofErr w:type="spellEnd"/>
            <w:r w:rsidRPr="00137163">
              <w:rPr>
                <w:rFonts w:ascii="Calibri Light" w:eastAsia="Times New Roman" w:hAnsi="Calibri Light" w:cs="Calibri Light"/>
                <w:lang w:eastAsia="fr-FR"/>
              </w:rPr>
              <w:t xml:space="preserve"> in </w:t>
            </w:r>
            <w:proofErr w:type="spellStart"/>
            <w:r w:rsidRPr="00137163">
              <w:rPr>
                <w:rFonts w:ascii="Calibri Light" w:eastAsia="Times New Roman" w:hAnsi="Calibri Light" w:cs="Calibri Light"/>
                <w:lang w:eastAsia="fr-FR"/>
              </w:rPr>
              <w:t>employment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matters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lawyers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should</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consider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Article</w:t>
            </w:r>
            <w:proofErr w:type="spellEnd"/>
            <w:r w:rsidRPr="00137163">
              <w:rPr>
                <w:rFonts w:ascii="Calibri Light" w:eastAsia="Times New Roman" w:hAnsi="Calibri Light" w:cs="Calibri Light"/>
                <w:lang w:eastAsia="fr-FR"/>
              </w:rPr>
              <w:t xml:space="preserve"> 31 </w:t>
            </w:r>
            <w:proofErr w:type="spellStart"/>
            <w:r w:rsidRPr="00137163">
              <w:rPr>
                <w:rFonts w:ascii="Calibri Light" w:eastAsia="Times New Roman" w:hAnsi="Calibri Light" w:cs="Calibri Light"/>
                <w:lang w:eastAsia="fr-FR"/>
              </w:rPr>
              <w:t>alongside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European</w:t>
            </w:r>
            <w:proofErr w:type="spellEnd"/>
            <w:r w:rsidRPr="00137163">
              <w:rPr>
                <w:rFonts w:ascii="Calibri Light" w:eastAsia="Times New Roman" w:hAnsi="Calibri Light" w:cs="Calibri Light"/>
                <w:lang w:eastAsia="fr-FR"/>
              </w:rPr>
              <w:t xml:space="preserve"> Social </w:t>
            </w:r>
            <w:proofErr w:type="spellStart"/>
            <w:r w:rsidRPr="00137163">
              <w:rPr>
                <w:rFonts w:ascii="Calibri Light" w:eastAsia="Times New Roman" w:hAnsi="Calibri Light" w:cs="Calibri Light"/>
                <w:lang w:eastAsia="fr-FR"/>
              </w:rPr>
              <w:t>Charter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when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addressing</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complex</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issues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like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discrimination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privacy</w:t>
            </w:r>
            <w:proofErr w:type="spellEnd"/>
            <w:r w:rsidRPr="00137163">
              <w:rPr>
                <w:rFonts w:ascii="Calibri Light" w:eastAsia="Times New Roman" w:hAnsi="Calibri Light" w:cs="Calibri Light"/>
                <w:lang w:eastAsia="fr-FR"/>
              </w:rPr>
              <w:t xml:space="preserve">, and </w:t>
            </w:r>
            <w:proofErr w:type="spellStart"/>
            <w:r w:rsidRPr="00137163">
              <w:rPr>
                <w:rFonts w:ascii="Calibri Light" w:eastAsia="Times New Roman" w:hAnsi="Calibri Light" w:cs="Calibri Light"/>
                <w:lang w:eastAsia="fr-FR"/>
              </w:rPr>
              <w:t>freedom</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of</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association</w:t>
            </w:r>
            <w:proofErr w:type="spellEnd"/>
            <w:r w:rsidRPr="00137163">
              <w:rPr>
                <w:rFonts w:ascii="Calibri Light" w:eastAsia="Times New Roman" w:hAnsi="Calibri Light" w:cs="Calibri Light"/>
                <w:lang w:eastAsia="fr-FR"/>
              </w:rPr>
              <w:t>.</w:t>
            </w:r>
          </w:p>
          <w:p w14:paraId="4293463F" w14:textId="77777777" w:rsidR="00CF3827" w:rsidRPr="00137163" w:rsidRDefault="00CF3827" w:rsidP="001B7850">
            <w:pPr>
              <w:spacing w:before="100" w:beforeAutospacing="1" w:after="100" w:afterAutospacing="1"/>
              <w:jc w:val="both"/>
              <w:rPr>
                <w:rFonts w:ascii="Calibri Light" w:eastAsia="Times New Roman" w:hAnsi="Calibri Light" w:cs="Calibri Light"/>
                <w:lang w:eastAsia="fr-FR"/>
              </w:rPr>
            </w:pPr>
            <w:proofErr w:type="spellStart"/>
            <w:r w:rsidRPr="00137163">
              <w:rPr>
                <w:rFonts w:ascii="Calibri Light" w:eastAsia="Times New Roman" w:hAnsi="Calibri Light" w:cs="Calibri Light"/>
                <w:b/>
                <w:bCs/>
                <w:lang w:eastAsia="fr-FR"/>
              </w:rPr>
              <w:t>Strategic</w:t>
            </w:r>
            <w:proofErr w:type="spellEnd"/>
            <w:r w:rsidRPr="00137163">
              <w:rPr>
                <w:rFonts w:ascii="Calibri Light" w:eastAsia="Times New Roman" w:hAnsi="Calibri Light" w:cs="Calibri Light"/>
                <w:b/>
                <w:bCs/>
                <w:lang w:eastAsia="fr-FR"/>
              </w:rPr>
              <w:t xml:space="preserve"> Use in Labor Law</w:t>
            </w:r>
            <w:r w:rsidRPr="00137163">
              <w:rPr>
                <w:rFonts w:ascii="Calibri Light" w:eastAsia="Times New Roman" w:hAnsi="Calibri Light" w:cs="Calibri Light"/>
                <w:lang w:eastAsia="fr-FR"/>
              </w:rPr>
              <w:t>:</w:t>
            </w:r>
          </w:p>
          <w:p w14:paraId="26FAADB7" w14:textId="77777777" w:rsidR="00CF3827" w:rsidRPr="00137163" w:rsidRDefault="00CF3827" w:rsidP="001B7850">
            <w:pPr>
              <w:numPr>
                <w:ilvl w:val="0"/>
                <w:numId w:val="17"/>
              </w:numPr>
              <w:spacing w:before="100" w:beforeAutospacing="1" w:after="100" w:afterAutospacing="1"/>
              <w:jc w:val="both"/>
              <w:rPr>
                <w:rFonts w:ascii="Calibri Light" w:eastAsia="Times New Roman" w:hAnsi="Calibri Light" w:cs="Calibri Light"/>
                <w:lang w:eastAsia="fr-FR"/>
              </w:rPr>
            </w:pPr>
            <w:proofErr w:type="spellStart"/>
            <w:r w:rsidRPr="00137163">
              <w:rPr>
                <w:rFonts w:ascii="Calibri Light" w:eastAsia="Times New Roman" w:hAnsi="Calibri Light" w:cs="Calibri Light"/>
                <w:b/>
                <w:bCs/>
                <w:lang w:eastAsia="fr-FR"/>
              </w:rPr>
              <w:t>Health</w:t>
            </w:r>
            <w:proofErr w:type="spellEnd"/>
            <w:r w:rsidRPr="00137163">
              <w:rPr>
                <w:rFonts w:ascii="Calibri Light" w:eastAsia="Times New Roman" w:hAnsi="Calibri Light" w:cs="Calibri Light"/>
                <w:b/>
                <w:bCs/>
                <w:lang w:eastAsia="fr-FR"/>
              </w:rPr>
              <w:t xml:space="preserve"> and Safety</w:t>
            </w:r>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Leverage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Article</w:t>
            </w:r>
            <w:proofErr w:type="spellEnd"/>
            <w:r w:rsidRPr="00137163">
              <w:rPr>
                <w:rFonts w:ascii="Calibri Light" w:eastAsia="Times New Roman" w:hAnsi="Calibri Light" w:cs="Calibri Light"/>
                <w:lang w:eastAsia="fr-FR"/>
              </w:rPr>
              <w:t xml:space="preserve"> 31 </w:t>
            </w:r>
            <w:proofErr w:type="spellStart"/>
            <w:r w:rsidRPr="00137163">
              <w:rPr>
                <w:rFonts w:ascii="Calibri Light" w:eastAsia="Times New Roman" w:hAnsi="Calibri Light" w:cs="Calibri Light"/>
                <w:lang w:eastAsia="fr-FR"/>
              </w:rPr>
              <w:t>to</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challenge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practices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that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compromise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workplace</w:t>
            </w:r>
            <w:proofErr w:type="spellEnd"/>
            <w:r w:rsidRPr="00137163">
              <w:rPr>
                <w:rFonts w:ascii="Calibri Light" w:eastAsia="Times New Roman" w:hAnsi="Calibri Light" w:cs="Calibri Light"/>
                <w:lang w:eastAsia="fr-FR"/>
              </w:rPr>
              <w:t xml:space="preserve"> safety </w:t>
            </w:r>
            <w:proofErr w:type="spellStart"/>
            <w:r w:rsidRPr="00137163">
              <w:rPr>
                <w:rFonts w:ascii="Calibri Light" w:eastAsia="Times New Roman" w:hAnsi="Calibri Light" w:cs="Calibri Light"/>
                <w:lang w:eastAsia="fr-FR"/>
              </w:rPr>
              <w:t>or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violate</w:t>
            </w:r>
            <w:proofErr w:type="spellEnd"/>
            <w:r w:rsidRPr="00137163">
              <w:rPr>
                <w:rFonts w:ascii="Calibri Light" w:eastAsia="Times New Roman" w:hAnsi="Calibri Light" w:cs="Calibri Light"/>
                <w:lang w:eastAsia="fr-FR"/>
              </w:rPr>
              <w:t xml:space="preserve"> EU </w:t>
            </w:r>
            <w:proofErr w:type="spellStart"/>
            <w:r w:rsidRPr="00137163">
              <w:rPr>
                <w:rFonts w:ascii="Calibri Light" w:eastAsia="Times New Roman" w:hAnsi="Calibri Light" w:cs="Calibri Light"/>
                <w:lang w:eastAsia="fr-FR"/>
              </w:rPr>
              <w:t>health</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standards</w:t>
            </w:r>
            <w:proofErr w:type="spellEnd"/>
            <w:r w:rsidRPr="00137163">
              <w:rPr>
                <w:rFonts w:ascii="Calibri Light" w:eastAsia="Times New Roman" w:hAnsi="Calibri Light" w:cs="Calibri Light"/>
                <w:lang w:eastAsia="fr-FR"/>
              </w:rPr>
              <w:t>.</w:t>
            </w:r>
          </w:p>
          <w:p w14:paraId="79E6FC40" w14:textId="77777777" w:rsidR="00CF3827" w:rsidRPr="00137163" w:rsidRDefault="00CF3827" w:rsidP="001B7850">
            <w:pPr>
              <w:numPr>
                <w:ilvl w:val="0"/>
                <w:numId w:val="17"/>
              </w:numPr>
              <w:spacing w:before="100" w:beforeAutospacing="1" w:after="100" w:afterAutospacing="1"/>
              <w:jc w:val="both"/>
              <w:rPr>
                <w:rFonts w:ascii="Calibri Light" w:eastAsia="Times New Roman" w:hAnsi="Calibri Light" w:cs="Calibri Light"/>
                <w:lang w:eastAsia="fr-FR"/>
              </w:rPr>
            </w:pPr>
            <w:proofErr w:type="spellStart"/>
            <w:r w:rsidRPr="00137163">
              <w:rPr>
                <w:rFonts w:ascii="Calibri Light" w:eastAsia="Times New Roman" w:hAnsi="Calibri Light" w:cs="Calibri Light"/>
                <w:b/>
                <w:bCs/>
                <w:lang w:eastAsia="fr-FR"/>
              </w:rPr>
              <w:t>Dignity</w:t>
            </w:r>
            <w:proofErr w:type="spellEnd"/>
            <w:r w:rsidRPr="00137163">
              <w:rPr>
                <w:rFonts w:ascii="Calibri Light" w:eastAsia="Times New Roman" w:hAnsi="Calibri Light" w:cs="Calibri Light"/>
                <w:b/>
                <w:bCs/>
                <w:lang w:eastAsia="fr-FR"/>
              </w:rPr>
              <w:t xml:space="preserve"> in </w:t>
            </w:r>
            <w:proofErr w:type="spellStart"/>
            <w:r w:rsidRPr="00137163">
              <w:rPr>
                <w:rFonts w:ascii="Calibri Light" w:eastAsia="Times New Roman" w:hAnsi="Calibri Light" w:cs="Calibri Light"/>
                <w:b/>
                <w:bCs/>
                <w:lang w:eastAsia="fr-FR"/>
              </w:rPr>
              <w:t>the</w:t>
            </w:r>
            <w:proofErr w:type="spellEnd"/>
            <w:r w:rsidRPr="00137163">
              <w:rPr>
                <w:rFonts w:ascii="Calibri Light" w:eastAsia="Times New Roman" w:hAnsi="Calibri Light" w:cs="Calibri Light"/>
                <w:b/>
                <w:bCs/>
                <w:lang w:eastAsia="fr-FR"/>
              </w:rPr>
              <w:t xml:space="preserve"> </w:t>
            </w:r>
            <w:proofErr w:type="spellStart"/>
            <w:r w:rsidRPr="00137163">
              <w:rPr>
                <w:rFonts w:ascii="Calibri Light" w:eastAsia="Times New Roman" w:hAnsi="Calibri Light" w:cs="Calibri Light"/>
                <w:b/>
                <w:bCs/>
                <w:lang w:eastAsia="fr-FR"/>
              </w:rPr>
              <w:t>Workplace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Address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harassment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unfair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remuneration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practices</w:t>
            </w:r>
            <w:proofErr w:type="spellEnd"/>
            <w:r w:rsidRPr="00137163">
              <w:rPr>
                <w:rFonts w:ascii="Calibri Light" w:eastAsia="Times New Roman" w:hAnsi="Calibri Light" w:cs="Calibri Light"/>
                <w:lang w:eastAsia="fr-FR"/>
              </w:rPr>
              <w:t xml:space="preserve">, and </w:t>
            </w:r>
            <w:proofErr w:type="spellStart"/>
            <w:r w:rsidRPr="00137163">
              <w:rPr>
                <w:rFonts w:ascii="Calibri Light" w:eastAsia="Times New Roman" w:hAnsi="Calibri Light" w:cs="Calibri Light"/>
                <w:lang w:eastAsia="fr-FR"/>
              </w:rPr>
              <w:t>workplace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discrimination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by</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tying</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them</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to</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dignity</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principle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embedded</w:t>
            </w:r>
            <w:proofErr w:type="spellEnd"/>
            <w:r w:rsidRPr="00137163">
              <w:rPr>
                <w:rFonts w:ascii="Calibri Light" w:eastAsia="Times New Roman" w:hAnsi="Calibri Light" w:cs="Calibri Light"/>
                <w:lang w:eastAsia="fr-FR"/>
              </w:rPr>
              <w:t xml:space="preserve"> in </w:t>
            </w:r>
            <w:proofErr w:type="spellStart"/>
            <w:r w:rsidRPr="00137163">
              <w:rPr>
                <w:rFonts w:ascii="Calibri Light" w:eastAsia="Times New Roman" w:hAnsi="Calibri Light" w:cs="Calibri Light"/>
                <w:lang w:eastAsia="fr-FR"/>
              </w:rPr>
              <w:t>Article</w:t>
            </w:r>
            <w:proofErr w:type="spellEnd"/>
            <w:r w:rsidRPr="00137163">
              <w:rPr>
                <w:rFonts w:ascii="Calibri Light" w:eastAsia="Times New Roman" w:hAnsi="Calibri Light" w:cs="Calibri Light"/>
                <w:lang w:eastAsia="fr-FR"/>
              </w:rPr>
              <w:t xml:space="preserve"> 31.</w:t>
            </w:r>
          </w:p>
          <w:p w14:paraId="2D681AFD" w14:textId="77777777" w:rsidR="00CF3827" w:rsidRPr="00137163" w:rsidRDefault="00CF3827" w:rsidP="001B7850">
            <w:pPr>
              <w:numPr>
                <w:ilvl w:val="0"/>
                <w:numId w:val="17"/>
              </w:numPr>
              <w:spacing w:before="100" w:beforeAutospacing="1" w:after="100" w:afterAutospacing="1"/>
              <w:jc w:val="both"/>
              <w:rPr>
                <w:rFonts w:ascii="Calibri Light" w:eastAsia="Times New Roman" w:hAnsi="Calibri Light" w:cs="Calibri Light"/>
                <w:lang w:eastAsia="fr-FR"/>
              </w:rPr>
            </w:pPr>
            <w:proofErr w:type="spellStart"/>
            <w:r w:rsidRPr="00137163">
              <w:rPr>
                <w:rFonts w:ascii="Calibri Light" w:eastAsia="Times New Roman" w:hAnsi="Calibri Light" w:cs="Calibri Light"/>
                <w:b/>
                <w:bCs/>
                <w:lang w:eastAsia="fr-FR"/>
              </w:rPr>
              <w:t>Working</w:t>
            </w:r>
            <w:proofErr w:type="spellEnd"/>
            <w:r w:rsidRPr="00137163">
              <w:rPr>
                <w:rFonts w:ascii="Calibri Light" w:eastAsia="Times New Roman" w:hAnsi="Calibri Light" w:cs="Calibri Light"/>
                <w:b/>
                <w:bCs/>
                <w:lang w:eastAsia="fr-FR"/>
              </w:rPr>
              <w:t xml:space="preserve"> </w:t>
            </w:r>
            <w:proofErr w:type="spellStart"/>
            <w:r w:rsidRPr="00137163">
              <w:rPr>
                <w:rFonts w:ascii="Calibri Light" w:eastAsia="Times New Roman" w:hAnsi="Calibri Light" w:cs="Calibri Light"/>
                <w:b/>
                <w:bCs/>
                <w:lang w:eastAsia="fr-FR"/>
              </w:rPr>
              <w:t>Hours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Advocate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for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compliance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with</w:t>
            </w:r>
            <w:proofErr w:type="spellEnd"/>
            <w:r w:rsidRPr="00137163">
              <w:rPr>
                <w:rFonts w:ascii="Calibri Light" w:eastAsia="Times New Roman" w:hAnsi="Calibri Light" w:cs="Calibri Light"/>
                <w:lang w:eastAsia="fr-FR"/>
              </w:rPr>
              <w:t xml:space="preserve"> EU </w:t>
            </w:r>
            <w:proofErr w:type="spellStart"/>
            <w:r w:rsidRPr="00137163">
              <w:rPr>
                <w:rFonts w:ascii="Calibri Light" w:eastAsia="Times New Roman" w:hAnsi="Calibri Light" w:cs="Calibri Light"/>
                <w:lang w:eastAsia="fr-FR"/>
              </w:rPr>
              <w:t>standards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on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working</w:t>
            </w:r>
            <w:proofErr w:type="spellEnd"/>
            <w:r w:rsidRPr="00137163">
              <w:rPr>
                <w:rFonts w:ascii="Calibri Light" w:eastAsia="Times New Roman" w:hAnsi="Calibri Light" w:cs="Calibri Light"/>
                <w:lang w:eastAsia="fr-FR"/>
              </w:rPr>
              <w:t xml:space="preserve"> time, </w:t>
            </w:r>
            <w:proofErr w:type="spellStart"/>
            <w:r w:rsidRPr="00137163">
              <w:rPr>
                <w:rFonts w:ascii="Calibri Light" w:eastAsia="Times New Roman" w:hAnsi="Calibri Light" w:cs="Calibri Light"/>
                <w:lang w:eastAsia="fr-FR"/>
              </w:rPr>
              <w:t>particularly</w:t>
            </w:r>
            <w:proofErr w:type="spellEnd"/>
            <w:r w:rsidRPr="00137163">
              <w:rPr>
                <w:rFonts w:ascii="Calibri Light" w:eastAsia="Times New Roman" w:hAnsi="Calibri Light" w:cs="Calibri Light"/>
                <w:lang w:eastAsia="fr-FR"/>
              </w:rPr>
              <w:t xml:space="preserve"> in industries </w:t>
            </w:r>
            <w:proofErr w:type="spellStart"/>
            <w:r w:rsidRPr="00137163">
              <w:rPr>
                <w:rFonts w:ascii="Calibri Light" w:eastAsia="Times New Roman" w:hAnsi="Calibri Light" w:cs="Calibri Light"/>
                <w:lang w:eastAsia="fr-FR"/>
              </w:rPr>
              <w:t>with</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systemic</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violations</w:t>
            </w:r>
            <w:proofErr w:type="spellEnd"/>
            <w:r w:rsidRPr="00137163">
              <w:rPr>
                <w:rFonts w:ascii="Calibri Light" w:eastAsia="Times New Roman" w:hAnsi="Calibri Light" w:cs="Calibri Light"/>
                <w:lang w:eastAsia="fr-FR"/>
              </w:rPr>
              <w:t>.</w:t>
            </w:r>
          </w:p>
          <w:p w14:paraId="0DE01994" w14:textId="77777777" w:rsidR="00CF3827" w:rsidRPr="00137163" w:rsidRDefault="00CF3827" w:rsidP="001B7850">
            <w:pPr>
              <w:spacing w:before="100" w:beforeAutospacing="1" w:after="100" w:afterAutospacing="1"/>
              <w:jc w:val="both"/>
              <w:rPr>
                <w:rFonts w:ascii="Calibri Light" w:eastAsia="Times New Roman" w:hAnsi="Calibri Light" w:cs="Calibri Light"/>
                <w:lang w:eastAsia="fr-FR"/>
              </w:rPr>
            </w:pPr>
            <w:proofErr w:type="spellStart"/>
            <w:r w:rsidRPr="00137163">
              <w:rPr>
                <w:rFonts w:ascii="Calibri Light" w:eastAsia="Times New Roman" w:hAnsi="Calibri Light" w:cs="Calibri Light"/>
                <w:b/>
                <w:bCs/>
                <w:lang w:eastAsia="fr-FR"/>
              </w:rPr>
              <w:t>Defining</w:t>
            </w:r>
            <w:proofErr w:type="spellEnd"/>
            <w:r w:rsidRPr="00137163">
              <w:rPr>
                <w:rFonts w:ascii="Calibri Light" w:eastAsia="Times New Roman" w:hAnsi="Calibri Light" w:cs="Calibri Light"/>
                <w:b/>
                <w:bCs/>
                <w:lang w:eastAsia="fr-FR"/>
              </w:rPr>
              <w:t xml:space="preserve"> </w:t>
            </w:r>
            <w:proofErr w:type="spellStart"/>
            <w:r w:rsidRPr="00137163">
              <w:rPr>
                <w:rFonts w:ascii="Calibri Light" w:eastAsia="Times New Roman" w:hAnsi="Calibri Light" w:cs="Calibri Light"/>
                <w:b/>
                <w:bCs/>
                <w:lang w:eastAsia="fr-FR"/>
              </w:rPr>
              <w:t>the</w:t>
            </w:r>
            <w:proofErr w:type="spellEnd"/>
            <w:r w:rsidRPr="00137163">
              <w:rPr>
                <w:rFonts w:ascii="Calibri Light" w:eastAsia="Times New Roman" w:hAnsi="Calibri Light" w:cs="Calibri Light"/>
                <w:b/>
                <w:bCs/>
                <w:lang w:eastAsia="fr-FR"/>
              </w:rPr>
              <w:t xml:space="preserve"> “</w:t>
            </w:r>
            <w:proofErr w:type="spellStart"/>
            <w:r w:rsidRPr="00137163">
              <w:rPr>
                <w:rFonts w:ascii="Calibri Light" w:eastAsia="Times New Roman" w:hAnsi="Calibri Light" w:cs="Calibri Light"/>
                <w:b/>
                <w:bCs/>
                <w:lang w:eastAsia="fr-FR"/>
              </w:rPr>
              <w:t>Worker</w:t>
            </w:r>
            <w:proofErr w:type="spellEnd"/>
            <w:r w:rsidRPr="00137163">
              <w:rPr>
                <w:rFonts w:ascii="Calibri Light" w:eastAsia="Times New Roman" w:hAnsi="Calibri Light" w:cs="Calibri Light"/>
                <w:b/>
                <w:bCs/>
                <w:lang w:eastAsia="fr-FR"/>
              </w:rPr>
              <w:t>”</w:t>
            </w:r>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Article</w:t>
            </w:r>
            <w:proofErr w:type="spellEnd"/>
            <w:r w:rsidRPr="00137163">
              <w:rPr>
                <w:rFonts w:ascii="Calibri Light" w:eastAsia="Times New Roman" w:hAnsi="Calibri Light" w:cs="Calibri Light"/>
                <w:lang w:eastAsia="fr-FR"/>
              </w:rPr>
              <w:t xml:space="preserve"> 31’s </w:t>
            </w:r>
            <w:proofErr w:type="spellStart"/>
            <w:r w:rsidRPr="00137163">
              <w:rPr>
                <w:rFonts w:ascii="Calibri Light" w:eastAsia="Times New Roman" w:hAnsi="Calibri Light" w:cs="Calibri Light"/>
                <w:lang w:eastAsia="fr-FR"/>
              </w:rPr>
              <w:t>autonomous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interpretation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of</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term</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worker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by</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the</w:t>
            </w:r>
            <w:proofErr w:type="spellEnd"/>
            <w:r w:rsidRPr="00137163">
              <w:rPr>
                <w:rFonts w:ascii="Calibri Light" w:eastAsia="Times New Roman" w:hAnsi="Calibri Light" w:cs="Calibri Light"/>
                <w:lang w:eastAsia="fr-FR"/>
              </w:rPr>
              <w:t xml:space="preserve"> CJEU </w:t>
            </w:r>
            <w:proofErr w:type="spellStart"/>
            <w:r w:rsidRPr="00137163">
              <w:rPr>
                <w:rFonts w:ascii="Calibri Light" w:eastAsia="Times New Roman" w:hAnsi="Calibri Light" w:cs="Calibri Light"/>
                <w:lang w:eastAsia="fr-FR"/>
              </w:rPr>
              <w:t>provides</w:t>
            </w:r>
            <w:proofErr w:type="spellEnd"/>
            <w:r w:rsidRPr="00137163">
              <w:rPr>
                <w:rFonts w:ascii="Calibri Light" w:eastAsia="Times New Roman" w:hAnsi="Calibri Light" w:cs="Calibri Light"/>
                <w:lang w:eastAsia="fr-FR"/>
              </w:rPr>
              <w:t xml:space="preserve"> a basis </w:t>
            </w:r>
            <w:proofErr w:type="spellStart"/>
            <w:r w:rsidRPr="00137163">
              <w:rPr>
                <w:rFonts w:ascii="Calibri Light" w:eastAsia="Times New Roman" w:hAnsi="Calibri Light" w:cs="Calibri Light"/>
                <w:lang w:eastAsia="fr-FR"/>
              </w:rPr>
              <w:t>for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expanding</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protections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to</w:t>
            </w:r>
            <w:proofErr w:type="spellEnd"/>
            <w:r w:rsidRPr="00137163">
              <w:rPr>
                <w:rFonts w:ascii="Calibri Light" w:eastAsia="Times New Roman" w:hAnsi="Calibri Light" w:cs="Calibri Light"/>
                <w:lang w:eastAsia="fr-FR"/>
              </w:rPr>
              <w:t xml:space="preserve"> non-</w:t>
            </w:r>
            <w:proofErr w:type="spellStart"/>
            <w:r w:rsidRPr="00137163">
              <w:rPr>
                <w:rFonts w:ascii="Calibri Light" w:eastAsia="Times New Roman" w:hAnsi="Calibri Light" w:cs="Calibri Light"/>
                <w:lang w:eastAsia="fr-FR"/>
              </w:rPr>
              <w:t>traditional</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employment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arrangements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such</w:t>
            </w:r>
            <w:proofErr w:type="spellEnd"/>
            <w:r w:rsidRPr="00137163">
              <w:rPr>
                <w:rFonts w:ascii="Calibri Light" w:eastAsia="Times New Roman" w:hAnsi="Calibri Light" w:cs="Calibri Light"/>
                <w:lang w:eastAsia="fr-FR"/>
              </w:rPr>
              <w:t xml:space="preserve"> as </w:t>
            </w:r>
            <w:proofErr w:type="spellStart"/>
            <w:r w:rsidRPr="00137163">
              <w:rPr>
                <w:rFonts w:ascii="Calibri Light" w:eastAsia="Times New Roman" w:hAnsi="Calibri Light" w:cs="Calibri Light"/>
                <w:lang w:eastAsia="fr-FR"/>
              </w:rPr>
              <w:t>gig</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workers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or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contractors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depending</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on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context</w:t>
            </w:r>
            <w:proofErr w:type="spellEnd"/>
            <w:r w:rsidRPr="00137163">
              <w:rPr>
                <w:rFonts w:ascii="Calibri Light" w:eastAsia="Times New Roman" w:hAnsi="Calibri Light" w:cs="Calibri Light"/>
                <w:lang w:eastAsia="fr-FR"/>
              </w:rPr>
              <w:t>.</w:t>
            </w:r>
          </w:p>
          <w:p w14:paraId="6942090C" w14:textId="77777777" w:rsidR="00CF3827" w:rsidRPr="00137163" w:rsidRDefault="00CF3827" w:rsidP="001B7850">
            <w:pPr>
              <w:spacing w:before="100" w:beforeAutospacing="1" w:after="100" w:afterAutospacing="1"/>
              <w:jc w:val="both"/>
              <w:rPr>
                <w:rFonts w:ascii="Calibri Light" w:eastAsia="Times New Roman" w:hAnsi="Calibri Light" w:cs="Calibri Light"/>
                <w:lang w:eastAsia="fr-FR"/>
              </w:rPr>
            </w:pPr>
            <w:r w:rsidRPr="00137163">
              <w:rPr>
                <w:rFonts w:ascii="Calibri Light" w:eastAsia="Times New Roman" w:hAnsi="Calibri Light" w:cs="Calibri Light"/>
                <w:b/>
                <w:bCs/>
                <w:lang w:eastAsia="fr-FR"/>
              </w:rPr>
              <w:t xml:space="preserve">Horizontal </w:t>
            </w:r>
            <w:proofErr w:type="spellStart"/>
            <w:r w:rsidRPr="00137163">
              <w:rPr>
                <w:rFonts w:ascii="Calibri Light" w:eastAsia="Times New Roman" w:hAnsi="Calibri Light" w:cs="Calibri Light"/>
                <w:b/>
                <w:bCs/>
                <w:lang w:eastAsia="fr-FR"/>
              </w:rPr>
              <w:t>Effect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Lawyers</w:t>
            </w:r>
            <w:proofErr w:type="spellEnd"/>
            <w:r w:rsidRPr="00137163">
              <w:rPr>
                <w:rFonts w:ascii="Calibri Light" w:eastAsia="Times New Roman" w:hAnsi="Calibri Light" w:cs="Calibri Light"/>
                <w:lang w:eastAsia="fr-FR"/>
              </w:rPr>
              <w:t xml:space="preserve"> can </w:t>
            </w:r>
            <w:proofErr w:type="spellStart"/>
            <w:r w:rsidRPr="00137163">
              <w:rPr>
                <w:rFonts w:ascii="Calibri Light" w:eastAsia="Times New Roman" w:hAnsi="Calibri Light" w:cs="Calibri Light"/>
                <w:lang w:eastAsia="fr-FR"/>
              </w:rPr>
              <w:t>rely</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on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the</w:t>
            </w:r>
            <w:proofErr w:type="spellEnd"/>
            <w:r w:rsidRPr="00137163">
              <w:rPr>
                <w:rFonts w:ascii="Calibri Light" w:eastAsia="Times New Roman" w:hAnsi="Calibri Light" w:cs="Calibri Light"/>
                <w:lang w:eastAsia="fr-FR"/>
              </w:rPr>
              <w:t xml:space="preserve"> horizontal </w:t>
            </w:r>
            <w:proofErr w:type="spellStart"/>
            <w:r w:rsidRPr="00137163">
              <w:rPr>
                <w:rFonts w:ascii="Calibri Light" w:eastAsia="Times New Roman" w:hAnsi="Calibri Light" w:cs="Calibri Light"/>
                <w:lang w:eastAsia="fr-FR"/>
              </w:rPr>
              <w:t>effect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recognized</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by</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the</w:t>
            </w:r>
            <w:proofErr w:type="spellEnd"/>
            <w:r w:rsidRPr="00137163">
              <w:rPr>
                <w:rFonts w:ascii="Calibri Light" w:eastAsia="Times New Roman" w:hAnsi="Calibri Light" w:cs="Calibri Light"/>
                <w:lang w:eastAsia="fr-FR"/>
              </w:rPr>
              <w:t xml:space="preserve"> CJEU </w:t>
            </w:r>
            <w:proofErr w:type="spellStart"/>
            <w:r w:rsidRPr="00137163">
              <w:rPr>
                <w:rFonts w:ascii="Calibri Light" w:eastAsia="Times New Roman" w:hAnsi="Calibri Light" w:cs="Calibri Light"/>
                <w:lang w:eastAsia="fr-FR"/>
              </w:rPr>
              <w:t>to</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invoke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Article</w:t>
            </w:r>
            <w:proofErr w:type="spellEnd"/>
            <w:r w:rsidRPr="00137163">
              <w:rPr>
                <w:rFonts w:ascii="Calibri Light" w:eastAsia="Times New Roman" w:hAnsi="Calibri Light" w:cs="Calibri Light"/>
                <w:lang w:eastAsia="fr-FR"/>
              </w:rPr>
              <w:t xml:space="preserve"> 31 </w:t>
            </w:r>
            <w:proofErr w:type="spellStart"/>
            <w:r w:rsidRPr="00137163">
              <w:rPr>
                <w:rFonts w:ascii="Calibri Light" w:eastAsia="Times New Roman" w:hAnsi="Calibri Light" w:cs="Calibri Light"/>
                <w:lang w:eastAsia="fr-FR"/>
              </w:rPr>
              <w:t>rights</w:t>
            </w:r>
            <w:proofErr w:type="spellEnd"/>
            <w:r w:rsidRPr="00137163">
              <w:rPr>
                <w:rFonts w:ascii="Calibri Light" w:eastAsia="Times New Roman" w:hAnsi="Calibri Light" w:cs="Calibri Light"/>
                <w:lang w:eastAsia="fr-FR"/>
              </w:rPr>
              <w:t xml:space="preserve"> in disputes </w:t>
            </w:r>
            <w:proofErr w:type="spellStart"/>
            <w:r w:rsidRPr="00137163">
              <w:rPr>
                <w:rFonts w:ascii="Calibri Light" w:eastAsia="Times New Roman" w:hAnsi="Calibri Light" w:cs="Calibri Light"/>
                <w:lang w:eastAsia="fr-FR"/>
              </w:rPr>
              <w:t>between</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private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parties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This</w:t>
            </w:r>
            <w:proofErr w:type="spellEnd"/>
            <w:r w:rsidRPr="00137163">
              <w:rPr>
                <w:rFonts w:ascii="Calibri Light" w:eastAsia="Times New Roman" w:hAnsi="Calibri Light" w:cs="Calibri Light"/>
                <w:lang w:eastAsia="fr-FR"/>
              </w:rPr>
              <w:t xml:space="preserve"> opens </w:t>
            </w:r>
            <w:proofErr w:type="spellStart"/>
            <w:r w:rsidRPr="00137163">
              <w:rPr>
                <w:rFonts w:ascii="Calibri Light" w:eastAsia="Times New Roman" w:hAnsi="Calibri Light" w:cs="Calibri Light"/>
                <w:lang w:eastAsia="fr-FR"/>
              </w:rPr>
              <w:t>pathways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to</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enforce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worker</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protections</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even</w:t>
            </w:r>
            <w:proofErr w:type="spellEnd"/>
            <w:r w:rsidRPr="00137163">
              <w:rPr>
                <w:rFonts w:ascii="Calibri Light" w:eastAsia="Times New Roman" w:hAnsi="Calibri Light" w:cs="Calibri Light"/>
                <w:lang w:eastAsia="fr-FR"/>
              </w:rPr>
              <w:t xml:space="preserve"> in </w:t>
            </w:r>
            <w:proofErr w:type="spellStart"/>
            <w:r w:rsidRPr="00137163">
              <w:rPr>
                <w:rFonts w:ascii="Calibri Light" w:eastAsia="Times New Roman" w:hAnsi="Calibri Light" w:cs="Calibri Light"/>
                <w:lang w:eastAsia="fr-FR"/>
              </w:rPr>
              <w:t>purely</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private</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employment</w:t>
            </w:r>
            <w:proofErr w:type="spellEnd"/>
            <w:r w:rsidRPr="00137163">
              <w:rPr>
                <w:rFonts w:ascii="Calibri Light" w:eastAsia="Times New Roman" w:hAnsi="Calibri Light" w:cs="Calibri Light"/>
                <w:lang w:eastAsia="fr-FR"/>
              </w:rPr>
              <w:t xml:space="preserve"> </w:t>
            </w:r>
            <w:proofErr w:type="spellStart"/>
            <w:r w:rsidRPr="00137163">
              <w:rPr>
                <w:rFonts w:ascii="Calibri Light" w:eastAsia="Times New Roman" w:hAnsi="Calibri Light" w:cs="Calibri Light"/>
                <w:lang w:eastAsia="fr-FR"/>
              </w:rPr>
              <w:t>relationships</w:t>
            </w:r>
            <w:proofErr w:type="spellEnd"/>
          </w:p>
          <w:p w14:paraId="251797F5" w14:textId="1D0253BD" w:rsidR="00CF3827" w:rsidRPr="008E2D64" w:rsidRDefault="00CF3827" w:rsidP="001B7850">
            <w:pPr>
              <w:jc w:val="both"/>
              <w:rPr>
                <w:rFonts w:ascii="Calibri" w:hAnsi="Calibri" w:cs="Calibri"/>
                <w:i/>
                <w:iCs/>
                <w:lang w:val="en-US"/>
              </w:rPr>
            </w:pPr>
          </w:p>
        </w:tc>
      </w:tr>
      <w:tr w:rsidR="00CF3827" w:rsidRPr="008E2D64" w14:paraId="0C5F89DE" w14:textId="77777777" w:rsidTr="00541A2A">
        <w:tc>
          <w:tcPr>
            <w:tcW w:w="8494" w:type="dxa"/>
          </w:tcPr>
          <w:p w14:paraId="2B76EC9A" w14:textId="1DCC6A15" w:rsidR="00CF3827" w:rsidRPr="009F095C" w:rsidRDefault="00CF3827" w:rsidP="001B7850">
            <w:pPr>
              <w:jc w:val="both"/>
              <w:rPr>
                <w:rFonts w:ascii="Calibri" w:hAnsi="Calibri" w:cs="Calibri"/>
                <w:b/>
                <w:bCs/>
                <w:sz w:val="28"/>
                <w:szCs w:val="28"/>
                <w:lang w:val="en-US"/>
              </w:rPr>
            </w:pPr>
            <w:r w:rsidRPr="009F095C">
              <w:rPr>
                <w:rFonts w:ascii="Calibri" w:hAnsi="Calibri" w:cs="Calibri"/>
                <w:b/>
                <w:bCs/>
                <w:color w:val="0070C0"/>
                <w:sz w:val="28"/>
                <w:szCs w:val="28"/>
                <w:lang w:val="en-US"/>
              </w:rPr>
              <w:t>Correspondence with other European/International instruments</w:t>
            </w:r>
          </w:p>
        </w:tc>
      </w:tr>
      <w:tr w:rsidR="00CF3827" w:rsidRPr="008E2D64" w14:paraId="46150B45" w14:textId="77777777" w:rsidTr="00541A2A">
        <w:tc>
          <w:tcPr>
            <w:tcW w:w="8494" w:type="dxa"/>
          </w:tcPr>
          <w:p w14:paraId="6303D8B7" w14:textId="77777777" w:rsidR="00CF3827" w:rsidRPr="009F095C" w:rsidRDefault="00CF3827" w:rsidP="001B7850">
            <w:pPr>
              <w:jc w:val="both"/>
              <w:rPr>
                <w:rFonts w:asciiTheme="majorHAnsi" w:hAnsiTheme="majorHAnsi" w:cstheme="majorHAnsi"/>
                <w:i/>
                <w:iCs/>
                <w:lang w:val="en-US"/>
              </w:rPr>
            </w:pPr>
          </w:p>
          <w:p w14:paraId="53E2AE0D" w14:textId="77777777" w:rsidR="00CF3827" w:rsidRPr="00CF3827" w:rsidRDefault="00CF3827" w:rsidP="001B7850">
            <w:pPr>
              <w:numPr>
                <w:ilvl w:val="0"/>
                <w:numId w:val="18"/>
              </w:numPr>
              <w:contextualSpacing/>
              <w:jc w:val="both"/>
              <w:rPr>
                <w:rFonts w:asciiTheme="majorHAnsi" w:eastAsia="Calibri" w:hAnsiTheme="majorHAnsi" w:cstheme="majorHAnsi"/>
                <w:bCs/>
                <w:kern w:val="0"/>
                <w:lang w:val="en-GB" w:eastAsia="en-GB"/>
                <w14:ligatures w14:val="none"/>
              </w:rPr>
            </w:pPr>
            <w:r w:rsidRPr="00CF3827">
              <w:rPr>
                <w:rFonts w:asciiTheme="majorHAnsi" w:eastAsia="Calibri" w:hAnsiTheme="majorHAnsi" w:cstheme="majorHAnsi"/>
                <w:bCs/>
                <w:kern w:val="0"/>
                <w:lang w:val="en-GB" w:eastAsia="en-GB"/>
                <w14:ligatures w14:val="none"/>
              </w:rPr>
              <w:t>European Social Charter, Article 2</w:t>
            </w:r>
          </w:p>
          <w:p w14:paraId="3A3C1C90" w14:textId="77777777" w:rsidR="00CF3827" w:rsidRPr="00CF3827" w:rsidRDefault="00CF3827" w:rsidP="001B7850">
            <w:pPr>
              <w:numPr>
                <w:ilvl w:val="0"/>
                <w:numId w:val="18"/>
              </w:numPr>
              <w:contextualSpacing/>
              <w:jc w:val="both"/>
              <w:rPr>
                <w:rFonts w:asciiTheme="majorHAnsi" w:eastAsia="Calibri" w:hAnsiTheme="majorHAnsi" w:cstheme="majorHAnsi"/>
                <w:bCs/>
                <w:kern w:val="0"/>
                <w:lang w:val="en-GB" w:eastAsia="en-GB"/>
                <w14:ligatures w14:val="none"/>
              </w:rPr>
            </w:pPr>
            <w:r w:rsidRPr="00CF3827">
              <w:rPr>
                <w:rFonts w:asciiTheme="majorHAnsi" w:eastAsia="Calibri" w:hAnsiTheme="majorHAnsi" w:cstheme="majorHAnsi"/>
                <w:bCs/>
                <w:kern w:val="0"/>
                <w:lang w:val="en-GB" w:eastAsia="en-GB"/>
                <w14:ligatures w14:val="none"/>
              </w:rPr>
              <w:t>Convention No 132 of the International Labour Organisation of 24 June 1970 concerning Annual Holidays with Pay (revised)</w:t>
            </w:r>
          </w:p>
          <w:p w14:paraId="4838CCC9" w14:textId="284E0AA4" w:rsidR="00CF3827" w:rsidRPr="00CF3827" w:rsidRDefault="00CF3827" w:rsidP="001B7850">
            <w:pPr>
              <w:jc w:val="both"/>
              <w:rPr>
                <w:rFonts w:asciiTheme="majorHAnsi" w:hAnsiTheme="majorHAnsi" w:cstheme="majorHAnsi"/>
                <w:lang w:val="en-GB"/>
              </w:rPr>
            </w:pPr>
          </w:p>
        </w:tc>
      </w:tr>
      <w:tr w:rsidR="00CF3827" w:rsidRPr="008E2D64" w14:paraId="0B26731A" w14:textId="77777777" w:rsidTr="00CA5340">
        <w:tc>
          <w:tcPr>
            <w:tcW w:w="8494" w:type="dxa"/>
          </w:tcPr>
          <w:p w14:paraId="75063B86" w14:textId="41A81A64" w:rsidR="00CF3827" w:rsidRPr="009F095C" w:rsidRDefault="00CF3827" w:rsidP="001B7850">
            <w:pPr>
              <w:jc w:val="both"/>
              <w:rPr>
                <w:rFonts w:cstheme="minorHAnsi"/>
                <w:b/>
                <w:bCs/>
                <w:color w:val="000000" w:themeColor="text1"/>
                <w:lang w:val="en-US"/>
              </w:rPr>
            </w:pPr>
            <w:r w:rsidRPr="009F095C">
              <w:rPr>
                <w:rFonts w:cstheme="minorHAnsi"/>
                <w:b/>
                <w:bCs/>
                <w:color w:val="000000" w:themeColor="text1"/>
                <w:lang w:val="en-US"/>
              </w:rPr>
              <w:t>Further readings</w:t>
            </w:r>
          </w:p>
        </w:tc>
      </w:tr>
      <w:tr w:rsidR="00CF3827" w:rsidRPr="008E2D64" w14:paraId="2BA0518F" w14:textId="77777777" w:rsidTr="00CA5340">
        <w:tc>
          <w:tcPr>
            <w:tcW w:w="8494" w:type="dxa"/>
          </w:tcPr>
          <w:p w14:paraId="0E7BE937" w14:textId="77777777" w:rsidR="00CF3827" w:rsidRPr="00CF3827" w:rsidRDefault="00CF3827" w:rsidP="001B7850">
            <w:pPr>
              <w:numPr>
                <w:ilvl w:val="0"/>
                <w:numId w:val="19"/>
              </w:numPr>
              <w:contextualSpacing/>
              <w:jc w:val="both"/>
              <w:rPr>
                <w:rFonts w:asciiTheme="majorHAnsi" w:eastAsia="Calibri" w:hAnsiTheme="majorHAnsi" w:cstheme="majorHAnsi"/>
                <w:color w:val="000000"/>
                <w:kern w:val="0"/>
                <w:lang w:val="fr-FR" w:eastAsia="en-GB"/>
                <w14:ligatures w14:val="none"/>
              </w:rPr>
            </w:pPr>
            <w:r w:rsidRPr="00CF3827">
              <w:rPr>
                <w:rFonts w:asciiTheme="majorHAnsi" w:eastAsia="Calibri" w:hAnsiTheme="majorHAnsi" w:cstheme="majorHAnsi"/>
                <w:color w:val="000000"/>
                <w:kern w:val="0"/>
                <w:lang w:val="fr-FR" w:eastAsia="en-GB"/>
                <w14:ligatures w14:val="none"/>
              </w:rPr>
              <w:t xml:space="preserve">H. </w:t>
            </w:r>
            <w:proofErr w:type="spellStart"/>
            <w:r w:rsidRPr="00CF3827">
              <w:rPr>
                <w:rFonts w:asciiTheme="majorHAnsi" w:eastAsia="Calibri" w:hAnsiTheme="majorHAnsi" w:cstheme="majorHAnsi"/>
                <w:color w:val="000000"/>
                <w:kern w:val="0"/>
                <w:lang w:val="fr-FR" w:eastAsia="en-GB"/>
                <w14:ligatures w14:val="none"/>
              </w:rPr>
              <w:t>Nasom</w:t>
            </w:r>
            <w:proofErr w:type="spellEnd"/>
            <w:r w:rsidRPr="00CF3827">
              <w:rPr>
                <w:rFonts w:asciiTheme="majorHAnsi" w:eastAsia="Calibri" w:hAnsiTheme="majorHAnsi" w:cstheme="majorHAnsi"/>
                <w:color w:val="000000"/>
                <w:kern w:val="0"/>
                <w:lang w:val="fr-FR" w:eastAsia="en-GB"/>
                <w14:ligatures w14:val="none"/>
              </w:rPr>
              <w:t>-Tissandier, “</w:t>
            </w:r>
            <w:r w:rsidRPr="00CF3827">
              <w:rPr>
                <w:rFonts w:asciiTheme="majorHAnsi" w:eastAsia="Calibri" w:hAnsiTheme="majorHAnsi" w:cstheme="majorHAnsi"/>
                <w:i/>
                <w:iCs/>
                <w:color w:val="000000"/>
                <w:kern w:val="0"/>
                <w:lang w:val="fr-FR" w:eastAsia="en-GB"/>
                <w14:ligatures w14:val="none"/>
              </w:rPr>
              <w:t>L’invocabilité de la Charte des droits fondamentaux au soutien du droit à congé annuel payé</w:t>
            </w:r>
            <w:r w:rsidRPr="00CF3827">
              <w:rPr>
                <w:rFonts w:asciiTheme="majorHAnsi" w:eastAsia="Calibri" w:hAnsiTheme="majorHAnsi" w:cstheme="majorHAnsi"/>
                <w:color w:val="000000"/>
                <w:kern w:val="0"/>
                <w:lang w:val="fr-FR" w:eastAsia="en-GB"/>
                <w14:ligatures w14:val="none"/>
              </w:rPr>
              <w:t>”, Revue de jurisprudence sociale, 2019, n°2, p.80.</w:t>
            </w:r>
          </w:p>
          <w:p w14:paraId="42AEA2F8" w14:textId="77777777" w:rsidR="00CF3827" w:rsidRPr="00CF3827" w:rsidRDefault="00CF3827" w:rsidP="001B7850">
            <w:pPr>
              <w:jc w:val="both"/>
              <w:rPr>
                <w:rFonts w:asciiTheme="majorHAnsi" w:eastAsia="Calibri" w:hAnsiTheme="majorHAnsi" w:cstheme="majorHAnsi"/>
                <w:color w:val="000000"/>
                <w:kern w:val="0"/>
                <w:lang w:val="fr-FR" w:eastAsia="en-GB"/>
                <w14:ligatures w14:val="none"/>
              </w:rPr>
            </w:pPr>
          </w:p>
          <w:p w14:paraId="40AEE294" w14:textId="77777777" w:rsidR="00CF3827" w:rsidRPr="00CF3827" w:rsidRDefault="00CF3827" w:rsidP="001B7850">
            <w:pPr>
              <w:numPr>
                <w:ilvl w:val="0"/>
                <w:numId w:val="19"/>
              </w:numPr>
              <w:contextualSpacing/>
              <w:jc w:val="both"/>
              <w:rPr>
                <w:rFonts w:asciiTheme="majorHAnsi" w:eastAsia="Calibri" w:hAnsiTheme="majorHAnsi" w:cstheme="majorHAnsi"/>
                <w:color w:val="000000"/>
                <w:kern w:val="0"/>
                <w:lang w:val="fr-FR" w:eastAsia="en-GB"/>
                <w14:ligatures w14:val="none"/>
              </w:rPr>
            </w:pPr>
            <w:r w:rsidRPr="00CF3827">
              <w:rPr>
                <w:rFonts w:asciiTheme="majorHAnsi" w:eastAsia="Calibri" w:hAnsiTheme="majorHAnsi" w:cstheme="majorHAnsi"/>
                <w:color w:val="000000"/>
                <w:kern w:val="0"/>
                <w:lang w:val="fr-FR" w:eastAsia="en-GB"/>
                <w14:ligatures w14:val="none"/>
              </w:rPr>
              <w:t xml:space="preserve">H. </w:t>
            </w:r>
            <w:proofErr w:type="spellStart"/>
            <w:r w:rsidRPr="00CF3827">
              <w:rPr>
                <w:rFonts w:asciiTheme="majorHAnsi" w:eastAsia="Calibri" w:hAnsiTheme="majorHAnsi" w:cstheme="majorHAnsi"/>
                <w:color w:val="000000"/>
                <w:kern w:val="0"/>
                <w:lang w:val="fr-FR" w:eastAsia="en-GB"/>
                <w14:ligatures w14:val="none"/>
              </w:rPr>
              <w:t>Nasom</w:t>
            </w:r>
            <w:proofErr w:type="spellEnd"/>
            <w:r w:rsidRPr="00CF3827">
              <w:rPr>
                <w:rFonts w:asciiTheme="majorHAnsi" w:eastAsia="Calibri" w:hAnsiTheme="majorHAnsi" w:cstheme="majorHAnsi"/>
                <w:color w:val="000000"/>
                <w:kern w:val="0"/>
                <w:lang w:val="fr-FR" w:eastAsia="en-GB"/>
                <w14:ligatures w14:val="none"/>
              </w:rPr>
              <w:t>-Tissandier, “</w:t>
            </w:r>
            <w:r w:rsidRPr="00CF3827">
              <w:rPr>
                <w:rFonts w:asciiTheme="majorHAnsi" w:eastAsia="Calibri" w:hAnsiTheme="majorHAnsi" w:cstheme="majorHAnsi"/>
                <w:i/>
                <w:iCs/>
                <w:color w:val="000000"/>
                <w:kern w:val="0"/>
                <w:lang w:val="fr-FR" w:eastAsia="en-GB"/>
                <w14:ligatures w14:val="none"/>
              </w:rPr>
              <w:t>Le droit au congé annuel payé est-il un principe général du droit de l’Union ? La CJUE entre fermeté et indécision</w:t>
            </w:r>
            <w:r w:rsidRPr="00CF3827">
              <w:rPr>
                <w:rFonts w:asciiTheme="majorHAnsi" w:eastAsia="Calibri" w:hAnsiTheme="majorHAnsi" w:cstheme="majorHAnsi"/>
                <w:color w:val="000000"/>
                <w:kern w:val="0"/>
                <w:lang w:val="fr-FR" w:eastAsia="en-GB"/>
                <w14:ligatures w14:val="none"/>
              </w:rPr>
              <w:t>”, Revue de jurisprudence sociale, 2012, p.261-263.</w:t>
            </w:r>
          </w:p>
          <w:p w14:paraId="1037237B" w14:textId="77777777" w:rsidR="00CF3827" w:rsidRPr="00CF3827" w:rsidRDefault="00CF3827" w:rsidP="001B7850">
            <w:pPr>
              <w:jc w:val="both"/>
              <w:rPr>
                <w:rFonts w:asciiTheme="majorHAnsi" w:eastAsia="Calibri" w:hAnsiTheme="majorHAnsi" w:cstheme="majorHAnsi"/>
                <w:color w:val="000000"/>
                <w:kern w:val="0"/>
                <w:lang w:val="fr-FR" w:eastAsia="en-GB"/>
                <w14:ligatures w14:val="none"/>
              </w:rPr>
            </w:pPr>
          </w:p>
          <w:p w14:paraId="2E58E5C0" w14:textId="77777777" w:rsidR="00CF3827" w:rsidRPr="00CF3827" w:rsidRDefault="00CF3827" w:rsidP="001B7850">
            <w:pPr>
              <w:numPr>
                <w:ilvl w:val="0"/>
                <w:numId w:val="19"/>
              </w:numPr>
              <w:contextualSpacing/>
              <w:jc w:val="both"/>
              <w:rPr>
                <w:rFonts w:asciiTheme="majorHAnsi" w:eastAsia="Calibri" w:hAnsiTheme="majorHAnsi" w:cstheme="majorHAnsi"/>
                <w:color w:val="000000"/>
                <w:kern w:val="0"/>
                <w:lang w:val="fr-FR" w:eastAsia="en-GB"/>
                <w14:ligatures w14:val="none"/>
              </w:rPr>
            </w:pPr>
            <w:r w:rsidRPr="00CF3827">
              <w:rPr>
                <w:rFonts w:asciiTheme="majorHAnsi" w:eastAsia="Calibri" w:hAnsiTheme="majorHAnsi" w:cstheme="majorHAnsi"/>
                <w:color w:val="000000"/>
                <w:kern w:val="0"/>
                <w:lang w:val="fr-FR" w:eastAsia="en-GB"/>
                <w14:ligatures w14:val="none"/>
              </w:rPr>
              <w:lastRenderedPageBreak/>
              <w:t>L. He, “</w:t>
            </w:r>
            <w:r w:rsidRPr="00CF3827">
              <w:rPr>
                <w:rFonts w:asciiTheme="majorHAnsi" w:eastAsia="Calibri" w:hAnsiTheme="majorHAnsi" w:cstheme="majorHAnsi"/>
                <w:i/>
                <w:iCs/>
                <w:color w:val="000000"/>
                <w:kern w:val="0"/>
                <w:lang w:val="fr-FR" w:eastAsia="en-GB"/>
                <w14:ligatures w14:val="none"/>
              </w:rPr>
              <w:t>Une protection remarquable du droit au repos et au loisir</w:t>
            </w:r>
            <w:r w:rsidRPr="00CF3827">
              <w:rPr>
                <w:rFonts w:asciiTheme="majorHAnsi" w:eastAsia="Calibri" w:hAnsiTheme="majorHAnsi" w:cstheme="majorHAnsi"/>
                <w:color w:val="000000"/>
                <w:kern w:val="0"/>
                <w:lang w:val="fr-FR" w:eastAsia="en-GB"/>
                <w14:ligatures w14:val="none"/>
              </w:rPr>
              <w:t>”, RTDE, 2019, p. 651</w:t>
            </w:r>
          </w:p>
          <w:p w14:paraId="2372B5D7" w14:textId="77777777" w:rsidR="00CF3827" w:rsidRPr="00CF3827" w:rsidRDefault="00CF3827" w:rsidP="001B7850">
            <w:pPr>
              <w:jc w:val="both"/>
              <w:rPr>
                <w:rFonts w:asciiTheme="majorHAnsi" w:eastAsia="Calibri" w:hAnsiTheme="majorHAnsi" w:cstheme="majorHAnsi"/>
                <w:color w:val="000000"/>
                <w:kern w:val="0"/>
                <w:lang w:val="fr-FR" w:eastAsia="en-GB"/>
                <w14:ligatures w14:val="none"/>
              </w:rPr>
            </w:pPr>
          </w:p>
          <w:p w14:paraId="02B6D0B3" w14:textId="77777777" w:rsidR="00CF3827" w:rsidRPr="00CF3827" w:rsidRDefault="00CF3827" w:rsidP="001B7850">
            <w:pPr>
              <w:numPr>
                <w:ilvl w:val="0"/>
                <w:numId w:val="19"/>
              </w:numPr>
              <w:contextualSpacing/>
              <w:jc w:val="both"/>
              <w:rPr>
                <w:rFonts w:asciiTheme="majorHAnsi" w:eastAsia="Calibri" w:hAnsiTheme="majorHAnsi" w:cstheme="majorHAnsi"/>
                <w:color w:val="000000"/>
                <w:kern w:val="0"/>
                <w:lang w:val="fr-FR" w:eastAsia="en-GB"/>
                <w14:ligatures w14:val="none"/>
              </w:rPr>
            </w:pPr>
            <w:r w:rsidRPr="00CF3827">
              <w:rPr>
                <w:rFonts w:asciiTheme="majorHAnsi" w:eastAsia="Calibri" w:hAnsiTheme="majorHAnsi" w:cstheme="majorHAnsi"/>
                <w:color w:val="000000"/>
                <w:kern w:val="0"/>
                <w:lang w:val="fr-FR" w:eastAsia="en-GB"/>
                <w14:ligatures w14:val="none"/>
              </w:rPr>
              <w:t>S. Robin-Olivier, “</w:t>
            </w:r>
            <w:r w:rsidRPr="00CF3827">
              <w:rPr>
                <w:rFonts w:asciiTheme="majorHAnsi" w:eastAsia="Calibri" w:hAnsiTheme="majorHAnsi" w:cstheme="majorHAnsi"/>
                <w:i/>
                <w:iCs/>
                <w:color w:val="000000"/>
                <w:kern w:val="0"/>
                <w:lang w:val="fr-FR" w:eastAsia="en-GB"/>
                <w14:ligatures w14:val="none"/>
              </w:rPr>
              <w:t>Article 31 conditions de travail justes et équitables</w:t>
            </w:r>
            <w:r w:rsidRPr="00CF3827">
              <w:rPr>
                <w:rFonts w:asciiTheme="majorHAnsi" w:eastAsia="Calibri" w:hAnsiTheme="majorHAnsi" w:cstheme="majorHAnsi"/>
                <w:color w:val="000000"/>
                <w:kern w:val="0"/>
                <w:lang w:val="fr-FR" w:eastAsia="en-GB"/>
                <w14:ligatures w14:val="none"/>
              </w:rPr>
              <w:t xml:space="preserve">”, in Charte des droits fondamentaux de l’Union européenne commentaire article par article, 3ème </w:t>
            </w:r>
            <w:proofErr w:type="spellStart"/>
            <w:r w:rsidRPr="00CF3827">
              <w:rPr>
                <w:rFonts w:asciiTheme="majorHAnsi" w:eastAsia="Calibri" w:hAnsiTheme="majorHAnsi" w:cstheme="majorHAnsi"/>
                <w:color w:val="000000"/>
                <w:kern w:val="0"/>
                <w:lang w:val="fr-FR" w:eastAsia="en-GB"/>
                <w14:ligatures w14:val="none"/>
              </w:rPr>
              <w:t>ed</w:t>
            </w:r>
            <w:proofErr w:type="spellEnd"/>
            <w:r w:rsidRPr="00CF3827">
              <w:rPr>
                <w:rFonts w:asciiTheme="majorHAnsi" w:eastAsia="Calibri" w:hAnsiTheme="majorHAnsi" w:cstheme="majorHAnsi"/>
                <w:color w:val="000000"/>
                <w:kern w:val="0"/>
                <w:lang w:val="fr-FR" w:eastAsia="en-GB"/>
                <w14:ligatures w14:val="none"/>
              </w:rPr>
              <w:t xml:space="preserve">., </w:t>
            </w:r>
            <w:proofErr w:type="spellStart"/>
            <w:r w:rsidRPr="00CF3827">
              <w:rPr>
                <w:rFonts w:asciiTheme="majorHAnsi" w:eastAsia="Calibri" w:hAnsiTheme="majorHAnsi" w:cstheme="majorHAnsi"/>
                <w:color w:val="000000"/>
                <w:kern w:val="0"/>
                <w:lang w:val="fr-FR" w:eastAsia="en-GB"/>
                <w14:ligatures w14:val="none"/>
              </w:rPr>
              <w:t>dir</w:t>
            </w:r>
            <w:proofErr w:type="spellEnd"/>
            <w:r w:rsidRPr="00CF3827">
              <w:rPr>
                <w:rFonts w:asciiTheme="majorHAnsi" w:eastAsia="Calibri" w:hAnsiTheme="majorHAnsi" w:cstheme="majorHAnsi"/>
                <w:color w:val="000000"/>
                <w:kern w:val="0"/>
                <w:lang w:val="fr-FR" w:eastAsia="en-GB"/>
                <w14:ligatures w14:val="none"/>
              </w:rPr>
              <w:t xml:space="preserve">. F. </w:t>
            </w:r>
            <w:proofErr w:type="spellStart"/>
            <w:r w:rsidRPr="00CF3827">
              <w:rPr>
                <w:rFonts w:asciiTheme="majorHAnsi" w:eastAsia="Calibri" w:hAnsiTheme="majorHAnsi" w:cstheme="majorHAnsi"/>
                <w:color w:val="000000"/>
                <w:kern w:val="0"/>
                <w:lang w:val="fr-FR" w:eastAsia="en-GB"/>
                <w14:ligatures w14:val="none"/>
              </w:rPr>
              <w:t>Picod</w:t>
            </w:r>
            <w:proofErr w:type="spellEnd"/>
            <w:r w:rsidRPr="00CF3827">
              <w:rPr>
                <w:rFonts w:asciiTheme="majorHAnsi" w:eastAsia="Calibri" w:hAnsiTheme="majorHAnsi" w:cstheme="majorHAnsi"/>
                <w:color w:val="000000"/>
                <w:kern w:val="0"/>
                <w:lang w:val="fr-FR" w:eastAsia="en-GB"/>
                <w14:ligatures w14:val="none"/>
              </w:rPr>
              <w:t xml:space="preserve">, C. </w:t>
            </w:r>
            <w:proofErr w:type="spellStart"/>
            <w:r w:rsidRPr="00CF3827">
              <w:rPr>
                <w:rFonts w:asciiTheme="majorHAnsi" w:eastAsia="Calibri" w:hAnsiTheme="majorHAnsi" w:cstheme="majorHAnsi"/>
                <w:color w:val="000000"/>
                <w:kern w:val="0"/>
                <w:lang w:val="fr-FR" w:eastAsia="en-GB"/>
                <w14:ligatures w14:val="none"/>
              </w:rPr>
              <w:t>Rizcallah</w:t>
            </w:r>
            <w:proofErr w:type="spellEnd"/>
            <w:r w:rsidRPr="00CF3827">
              <w:rPr>
                <w:rFonts w:asciiTheme="majorHAnsi" w:eastAsia="Calibri" w:hAnsiTheme="majorHAnsi" w:cstheme="majorHAnsi"/>
                <w:color w:val="000000"/>
                <w:kern w:val="0"/>
                <w:lang w:val="fr-FR" w:eastAsia="en-GB"/>
                <w14:ligatures w14:val="none"/>
              </w:rPr>
              <w:t xml:space="preserve"> et S. Van </w:t>
            </w:r>
            <w:proofErr w:type="spellStart"/>
            <w:r w:rsidRPr="00CF3827">
              <w:rPr>
                <w:rFonts w:asciiTheme="majorHAnsi" w:eastAsia="Calibri" w:hAnsiTheme="majorHAnsi" w:cstheme="majorHAnsi"/>
                <w:color w:val="000000"/>
                <w:kern w:val="0"/>
                <w:lang w:val="fr-FR" w:eastAsia="en-GB"/>
                <w14:ligatures w14:val="none"/>
              </w:rPr>
              <w:t>Drooghenbroeck</w:t>
            </w:r>
            <w:proofErr w:type="spellEnd"/>
            <w:r w:rsidRPr="00CF3827">
              <w:rPr>
                <w:rFonts w:asciiTheme="majorHAnsi" w:eastAsia="Calibri" w:hAnsiTheme="majorHAnsi" w:cstheme="majorHAnsi"/>
                <w:color w:val="000000"/>
                <w:kern w:val="0"/>
                <w:lang w:val="fr-FR" w:eastAsia="en-GB"/>
                <w14:ligatures w14:val="none"/>
              </w:rPr>
              <w:t>, Bruylant, p. 845 et s.</w:t>
            </w:r>
          </w:p>
          <w:p w14:paraId="3A712377" w14:textId="77777777" w:rsidR="00CF3827" w:rsidRPr="00CF3827" w:rsidRDefault="00CF3827" w:rsidP="001B7850">
            <w:pPr>
              <w:jc w:val="both"/>
              <w:rPr>
                <w:rFonts w:asciiTheme="majorHAnsi" w:eastAsia="Calibri" w:hAnsiTheme="majorHAnsi" w:cstheme="majorHAnsi"/>
                <w:kern w:val="0"/>
                <w:lang w:val="fr-FR" w:eastAsia="en-GB"/>
                <w14:ligatures w14:val="none"/>
              </w:rPr>
            </w:pPr>
          </w:p>
          <w:p w14:paraId="216A6E2B" w14:textId="77777777" w:rsidR="00CF3827" w:rsidRPr="00CF3827" w:rsidRDefault="00CF3827" w:rsidP="001B7850">
            <w:pPr>
              <w:numPr>
                <w:ilvl w:val="0"/>
                <w:numId w:val="19"/>
              </w:numPr>
              <w:contextualSpacing/>
              <w:jc w:val="both"/>
              <w:rPr>
                <w:rFonts w:asciiTheme="majorHAnsi" w:eastAsia="Calibri" w:hAnsiTheme="majorHAnsi" w:cstheme="majorHAnsi"/>
                <w:kern w:val="0"/>
                <w:lang w:val="fr-FR" w:eastAsia="en-GB"/>
                <w14:ligatures w14:val="none"/>
              </w:rPr>
            </w:pPr>
            <w:r w:rsidRPr="00CF3827">
              <w:rPr>
                <w:rFonts w:asciiTheme="majorHAnsi" w:eastAsia="Calibri" w:hAnsiTheme="majorHAnsi" w:cstheme="majorHAnsi"/>
                <w:kern w:val="0"/>
                <w:lang w:val="en-GB" w:eastAsia="en-GB"/>
                <w14:ligatures w14:val="none"/>
              </w:rPr>
              <w:t>Bogg, M. Ford, “</w:t>
            </w:r>
            <w:r w:rsidRPr="00CF3827">
              <w:rPr>
                <w:rFonts w:asciiTheme="majorHAnsi" w:eastAsia="Calibri" w:hAnsiTheme="majorHAnsi" w:cstheme="majorHAnsi"/>
                <w:i/>
                <w:iCs/>
                <w:kern w:val="0"/>
                <w:lang w:val="en-GB" w:eastAsia="en-GB"/>
                <w14:ligatures w14:val="none"/>
              </w:rPr>
              <w:t xml:space="preserve">Article </w:t>
            </w:r>
            <w:proofErr w:type="gramStart"/>
            <w:r w:rsidRPr="00CF3827">
              <w:rPr>
                <w:rFonts w:asciiTheme="majorHAnsi" w:eastAsia="Calibri" w:hAnsiTheme="majorHAnsi" w:cstheme="majorHAnsi"/>
                <w:i/>
                <w:iCs/>
                <w:kern w:val="0"/>
                <w:lang w:val="en-GB" w:eastAsia="en-GB"/>
                <w14:ligatures w14:val="none"/>
              </w:rPr>
              <w:t>31 :</w:t>
            </w:r>
            <w:proofErr w:type="gramEnd"/>
            <w:r w:rsidRPr="00CF3827">
              <w:rPr>
                <w:rFonts w:asciiTheme="majorHAnsi" w:eastAsia="Calibri" w:hAnsiTheme="majorHAnsi" w:cstheme="majorHAnsi"/>
                <w:i/>
                <w:iCs/>
                <w:kern w:val="0"/>
                <w:lang w:val="en-GB" w:eastAsia="en-GB"/>
                <w14:ligatures w14:val="none"/>
              </w:rPr>
              <w:t xml:space="preserve"> Fair and just working conditions</w:t>
            </w:r>
            <w:r w:rsidRPr="00CF3827">
              <w:rPr>
                <w:rFonts w:asciiTheme="majorHAnsi" w:eastAsia="Calibri" w:hAnsiTheme="majorHAnsi" w:cstheme="majorHAnsi"/>
                <w:kern w:val="0"/>
                <w:lang w:val="en-GB" w:eastAsia="en-GB"/>
                <w14:ligatures w14:val="none"/>
              </w:rPr>
              <w:t xml:space="preserve">”, in Peers, St </w:t>
            </w:r>
            <w:proofErr w:type="spellStart"/>
            <w:r w:rsidRPr="00CF3827">
              <w:rPr>
                <w:rFonts w:asciiTheme="majorHAnsi" w:eastAsia="Calibri" w:hAnsiTheme="majorHAnsi" w:cstheme="majorHAnsi"/>
                <w:kern w:val="0"/>
                <w:lang w:val="en-GB" w:eastAsia="en-GB"/>
                <w14:ligatures w14:val="none"/>
              </w:rPr>
              <w:t>hervey</w:t>
            </w:r>
            <w:proofErr w:type="spellEnd"/>
            <w:r w:rsidRPr="00CF3827">
              <w:rPr>
                <w:rFonts w:asciiTheme="majorHAnsi" w:eastAsia="Calibri" w:hAnsiTheme="majorHAnsi" w:cstheme="majorHAnsi"/>
                <w:kern w:val="0"/>
                <w:lang w:val="en-GB" w:eastAsia="en-GB"/>
                <w14:ligatures w14:val="none"/>
              </w:rPr>
              <w:t>, Kenner, Ward (</w:t>
            </w:r>
            <w:proofErr w:type="spellStart"/>
            <w:r w:rsidRPr="00CF3827">
              <w:rPr>
                <w:rFonts w:asciiTheme="majorHAnsi" w:eastAsia="Calibri" w:hAnsiTheme="majorHAnsi" w:cstheme="majorHAnsi"/>
                <w:kern w:val="0"/>
                <w:lang w:val="en-GB" w:eastAsia="en-GB"/>
                <w14:ligatures w14:val="none"/>
              </w:rPr>
              <w:t>dir</w:t>
            </w:r>
            <w:proofErr w:type="spellEnd"/>
            <w:r w:rsidRPr="00CF3827">
              <w:rPr>
                <w:rFonts w:asciiTheme="majorHAnsi" w:eastAsia="Calibri" w:hAnsiTheme="majorHAnsi" w:cstheme="majorHAnsi"/>
                <w:kern w:val="0"/>
                <w:lang w:val="en-GB" w:eastAsia="en-GB"/>
                <w14:ligatures w14:val="none"/>
              </w:rPr>
              <w:t xml:space="preserve">), The EU Charter of fundamentals rights. </w:t>
            </w:r>
            <w:r w:rsidRPr="00CF3827">
              <w:rPr>
                <w:rFonts w:asciiTheme="majorHAnsi" w:eastAsia="Calibri" w:hAnsiTheme="majorHAnsi" w:cstheme="majorHAnsi"/>
                <w:kern w:val="0"/>
                <w:lang w:val="fr-FR" w:eastAsia="en-GB"/>
                <w14:ligatures w14:val="none"/>
              </w:rPr>
              <w:t xml:space="preserve">A </w:t>
            </w:r>
            <w:proofErr w:type="spellStart"/>
            <w:r w:rsidRPr="00CF3827">
              <w:rPr>
                <w:rFonts w:asciiTheme="majorHAnsi" w:eastAsia="Calibri" w:hAnsiTheme="majorHAnsi" w:cstheme="majorHAnsi"/>
                <w:kern w:val="0"/>
                <w:lang w:val="fr-FR" w:eastAsia="en-GB"/>
                <w14:ligatures w14:val="none"/>
              </w:rPr>
              <w:t>commentary</w:t>
            </w:r>
            <w:proofErr w:type="spellEnd"/>
            <w:r w:rsidRPr="00CF3827">
              <w:rPr>
                <w:rFonts w:asciiTheme="majorHAnsi" w:eastAsia="Calibri" w:hAnsiTheme="majorHAnsi" w:cstheme="majorHAnsi"/>
                <w:kern w:val="0"/>
                <w:lang w:val="fr-FR" w:eastAsia="en-GB"/>
                <w14:ligatures w14:val="none"/>
              </w:rPr>
              <w:t xml:space="preserve">, Munich/oxford/Baden </w:t>
            </w:r>
            <w:proofErr w:type="spellStart"/>
            <w:r w:rsidRPr="00CF3827">
              <w:rPr>
                <w:rFonts w:asciiTheme="majorHAnsi" w:eastAsia="Calibri" w:hAnsiTheme="majorHAnsi" w:cstheme="majorHAnsi"/>
                <w:kern w:val="0"/>
                <w:lang w:val="fr-FR" w:eastAsia="en-GB"/>
                <w14:ligatures w14:val="none"/>
              </w:rPr>
              <w:t>baden</w:t>
            </w:r>
            <w:proofErr w:type="spellEnd"/>
            <w:r w:rsidRPr="00CF3827">
              <w:rPr>
                <w:rFonts w:asciiTheme="majorHAnsi" w:eastAsia="Calibri" w:hAnsiTheme="majorHAnsi" w:cstheme="majorHAnsi"/>
                <w:kern w:val="0"/>
                <w:lang w:val="fr-FR" w:eastAsia="en-GB"/>
                <w14:ligatures w14:val="none"/>
              </w:rPr>
              <w:t>, Beck/Hart/Nomos,2021.</w:t>
            </w:r>
          </w:p>
          <w:p w14:paraId="0B111B40" w14:textId="77777777" w:rsidR="00CF3827" w:rsidRPr="00CF3827" w:rsidRDefault="00CF3827" w:rsidP="001B7850">
            <w:pPr>
              <w:jc w:val="both"/>
              <w:rPr>
                <w:rFonts w:asciiTheme="majorHAnsi" w:eastAsia="Calibri" w:hAnsiTheme="majorHAnsi" w:cstheme="majorHAnsi"/>
                <w:kern w:val="0"/>
                <w:lang w:val="fr-FR" w:eastAsia="en-GB"/>
                <w14:ligatures w14:val="none"/>
              </w:rPr>
            </w:pPr>
          </w:p>
          <w:p w14:paraId="2A4F1F7F" w14:textId="77777777" w:rsidR="00CF3827" w:rsidRPr="00CF3827" w:rsidRDefault="00CF3827" w:rsidP="001B7850">
            <w:pPr>
              <w:numPr>
                <w:ilvl w:val="0"/>
                <w:numId w:val="19"/>
              </w:numPr>
              <w:contextualSpacing/>
              <w:jc w:val="both"/>
              <w:rPr>
                <w:rFonts w:asciiTheme="majorHAnsi" w:eastAsia="Calibri" w:hAnsiTheme="majorHAnsi" w:cstheme="majorHAnsi"/>
                <w:kern w:val="0"/>
                <w:lang w:val="fr-FR" w:eastAsia="en-GB"/>
                <w14:ligatures w14:val="none"/>
              </w:rPr>
            </w:pPr>
            <w:r w:rsidRPr="00CF3827">
              <w:rPr>
                <w:rFonts w:asciiTheme="majorHAnsi" w:eastAsia="Calibri" w:hAnsiTheme="majorHAnsi" w:cstheme="majorHAnsi"/>
                <w:kern w:val="0"/>
                <w:lang w:val="fr-FR" w:eastAsia="en-GB"/>
                <w14:ligatures w14:val="none"/>
              </w:rPr>
              <w:t xml:space="preserve">J. </w:t>
            </w:r>
            <w:proofErr w:type="spellStart"/>
            <w:r w:rsidRPr="00CF3827">
              <w:rPr>
                <w:rFonts w:asciiTheme="majorHAnsi" w:eastAsia="Calibri" w:hAnsiTheme="majorHAnsi" w:cstheme="majorHAnsi"/>
                <w:kern w:val="0"/>
                <w:lang w:val="fr-FR" w:eastAsia="en-GB"/>
                <w14:ligatures w14:val="none"/>
              </w:rPr>
              <w:t>Mouly</w:t>
            </w:r>
            <w:proofErr w:type="spellEnd"/>
            <w:r w:rsidRPr="00CF3827">
              <w:rPr>
                <w:rFonts w:asciiTheme="majorHAnsi" w:eastAsia="Calibri" w:hAnsiTheme="majorHAnsi" w:cstheme="majorHAnsi"/>
                <w:kern w:val="0"/>
                <w:lang w:val="fr-FR" w:eastAsia="en-GB"/>
                <w14:ligatures w14:val="none"/>
              </w:rPr>
              <w:t>, “</w:t>
            </w:r>
            <w:r w:rsidRPr="00CF3827">
              <w:rPr>
                <w:rFonts w:asciiTheme="majorHAnsi" w:eastAsia="Calibri" w:hAnsiTheme="majorHAnsi" w:cstheme="majorHAnsi"/>
                <w:i/>
                <w:iCs/>
                <w:kern w:val="0"/>
                <w:lang w:val="fr-FR" w:eastAsia="en-GB"/>
                <w14:ligatures w14:val="none"/>
              </w:rPr>
              <w:t>Le revirement relative au droit à congé payé – Une jurisprudence pas tout à fait nouvelle</w:t>
            </w:r>
            <w:r w:rsidRPr="00CF3827">
              <w:rPr>
                <w:rFonts w:asciiTheme="majorHAnsi" w:eastAsia="Calibri" w:hAnsiTheme="majorHAnsi" w:cstheme="majorHAnsi"/>
                <w:kern w:val="0"/>
                <w:lang w:val="fr-FR" w:eastAsia="en-GB"/>
                <w14:ligatures w14:val="none"/>
              </w:rPr>
              <w:t xml:space="preserve">” A propos de l’arrêt de la Cour de cassation français du 13/09/2023, Dr. Soc. </w:t>
            </w:r>
            <w:proofErr w:type="spellStart"/>
            <w:r w:rsidRPr="00CF3827">
              <w:rPr>
                <w:rFonts w:asciiTheme="majorHAnsi" w:eastAsia="Calibri" w:hAnsiTheme="majorHAnsi" w:cstheme="majorHAnsi"/>
                <w:kern w:val="0"/>
                <w:lang w:val="fr-FR" w:eastAsia="en-GB"/>
                <w14:ligatures w14:val="none"/>
              </w:rPr>
              <w:t>fev</w:t>
            </w:r>
            <w:proofErr w:type="spellEnd"/>
            <w:r w:rsidRPr="00CF3827">
              <w:rPr>
                <w:rFonts w:asciiTheme="majorHAnsi" w:eastAsia="Calibri" w:hAnsiTheme="majorHAnsi" w:cstheme="majorHAnsi"/>
                <w:kern w:val="0"/>
                <w:lang w:val="fr-FR" w:eastAsia="en-GB"/>
                <w14:ligatures w14:val="none"/>
              </w:rPr>
              <w:t>. 2024, p.174 et s.</w:t>
            </w:r>
          </w:p>
          <w:p w14:paraId="38781C49" w14:textId="77777777" w:rsidR="00CF3827" w:rsidRPr="00CF3827" w:rsidRDefault="00CF3827" w:rsidP="001B7850">
            <w:pPr>
              <w:jc w:val="both"/>
              <w:rPr>
                <w:rFonts w:asciiTheme="majorHAnsi" w:eastAsia="Calibri" w:hAnsiTheme="majorHAnsi" w:cstheme="majorHAnsi"/>
                <w:kern w:val="0"/>
                <w:lang w:val="fr-FR" w:eastAsia="en-GB"/>
                <w14:ligatures w14:val="none"/>
              </w:rPr>
            </w:pPr>
          </w:p>
          <w:p w14:paraId="72E1EB7E" w14:textId="77777777" w:rsidR="00CF3827" w:rsidRPr="00CF3827" w:rsidRDefault="00CF3827" w:rsidP="001B7850">
            <w:pPr>
              <w:numPr>
                <w:ilvl w:val="0"/>
                <w:numId w:val="19"/>
              </w:numPr>
              <w:contextualSpacing/>
              <w:jc w:val="both"/>
              <w:rPr>
                <w:rFonts w:asciiTheme="majorHAnsi" w:eastAsia="Calibri" w:hAnsiTheme="majorHAnsi" w:cstheme="majorHAnsi"/>
                <w:kern w:val="0"/>
                <w:lang w:val="en-GB" w:eastAsia="en-GB"/>
                <w14:ligatures w14:val="none"/>
              </w:rPr>
            </w:pPr>
            <w:r w:rsidRPr="00CF3827">
              <w:rPr>
                <w:rFonts w:asciiTheme="majorHAnsi" w:eastAsia="Calibri" w:hAnsiTheme="majorHAnsi" w:cstheme="majorHAnsi"/>
                <w:kern w:val="0"/>
                <w:lang w:val="en-GB" w:eastAsia="en-GB"/>
                <w14:ligatures w14:val="none"/>
              </w:rPr>
              <w:t>Handbook on European non-discrimination law – 2018 edition</w:t>
            </w:r>
          </w:p>
          <w:p w14:paraId="2FA1AE4B" w14:textId="77777777" w:rsidR="00CF3827" w:rsidRPr="009F095C" w:rsidRDefault="00CF3827" w:rsidP="001B7850">
            <w:pPr>
              <w:jc w:val="both"/>
              <w:rPr>
                <w:rFonts w:asciiTheme="majorHAnsi" w:hAnsiTheme="majorHAnsi" w:cstheme="majorHAnsi"/>
                <w:i/>
                <w:iCs/>
                <w:color w:val="000000" w:themeColor="text1"/>
                <w:lang w:val="en-US"/>
              </w:rPr>
            </w:pPr>
          </w:p>
          <w:p w14:paraId="0DA5C5C2" w14:textId="460E5A0E" w:rsidR="00CF3827" w:rsidRPr="009F095C" w:rsidRDefault="00CF3827" w:rsidP="001B7850">
            <w:pPr>
              <w:jc w:val="both"/>
              <w:rPr>
                <w:rFonts w:asciiTheme="majorHAnsi" w:hAnsiTheme="majorHAnsi" w:cstheme="majorHAnsi"/>
                <w:i/>
                <w:iCs/>
                <w:color w:val="000000" w:themeColor="text1"/>
                <w:lang w:val="en-US"/>
              </w:rPr>
            </w:pPr>
          </w:p>
        </w:tc>
      </w:tr>
    </w:tbl>
    <w:p w14:paraId="4967EA04" w14:textId="77777777" w:rsidR="00CA5340" w:rsidRDefault="00CA5340" w:rsidP="001B7850">
      <w:pPr>
        <w:jc w:val="both"/>
        <w:rPr>
          <w:rFonts w:ascii="Calibri" w:hAnsi="Calibri" w:cs="Calibri"/>
          <w:sz w:val="22"/>
          <w:szCs w:val="22"/>
          <w:lang w:val="en-US"/>
        </w:rPr>
      </w:pPr>
    </w:p>
    <w:sectPr w:rsidR="00CA5340" w:rsidSect="00DC53A0">
      <w:headerReference w:type="default" r:id="rId9"/>
      <w:pgSz w:w="11906" w:h="16838"/>
      <w:pgMar w:top="1418" w:right="1701" w:bottom="103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84EE6" w14:textId="77777777" w:rsidR="009F095C" w:rsidRDefault="009F095C" w:rsidP="009F095C">
      <w:r>
        <w:separator/>
      </w:r>
    </w:p>
  </w:endnote>
  <w:endnote w:type="continuationSeparator" w:id="0">
    <w:p w14:paraId="2755F8AF" w14:textId="77777777" w:rsidR="009F095C" w:rsidRDefault="009F095C" w:rsidP="009F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84EE" w14:textId="77777777" w:rsidR="009F095C" w:rsidRDefault="009F095C" w:rsidP="009F095C">
      <w:r>
        <w:separator/>
      </w:r>
    </w:p>
  </w:footnote>
  <w:footnote w:type="continuationSeparator" w:id="0">
    <w:p w14:paraId="2AE3521F" w14:textId="77777777" w:rsidR="009F095C" w:rsidRDefault="009F095C" w:rsidP="009F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63A0F" w14:textId="13ECA210" w:rsidR="00711C0F" w:rsidRDefault="00711C0F">
    <w:pPr>
      <w:pStyle w:val="En-tte"/>
    </w:pPr>
    <w:r>
      <w:rPr>
        <w:rFonts w:ascii="Calibri" w:hAnsi="Calibri" w:cs="Calibri"/>
        <w:b/>
        <w:bCs/>
        <w:noProof/>
        <w:lang w:val="en-US"/>
      </w:rPr>
      <w:drawing>
        <wp:anchor distT="0" distB="0" distL="114300" distR="114300" simplePos="0" relativeHeight="251659264" behindDoc="1" locked="0" layoutInCell="1" allowOverlap="1" wp14:anchorId="7811FFF3" wp14:editId="712A0B45">
          <wp:simplePos x="0" y="0"/>
          <wp:positionH relativeFrom="page">
            <wp:align>left</wp:align>
          </wp:positionH>
          <wp:positionV relativeFrom="paragraph">
            <wp:posOffset>-1356469</wp:posOffset>
          </wp:positionV>
          <wp:extent cx="7558500" cy="1797269"/>
          <wp:effectExtent l="0" t="0" r="4445" b="0"/>
          <wp:wrapNone/>
          <wp:docPr id="847529213"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EC4377E"/>
    <w:multiLevelType w:val="multilevel"/>
    <w:tmpl w:val="3800E3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895B42"/>
    <w:multiLevelType w:val="multilevel"/>
    <w:tmpl w:val="6C4CF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E20DBB"/>
    <w:multiLevelType w:val="multilevel"/>
    <w:tmpl w:val="E71EE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3A16B8"/>
    <w:multiLevelType w:val="hybridMultilevel"/>
    <w:tmpl w:val="8368C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AA11A4"/>
    <w:multiLevelType w:val="multilevel"/>
    <w:tmpl w:val="02B4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DF0BF9"/>
    <w:multiLevelType w:val="hybridMultilevel"/>
    <w:tmpl w:val="DFD213C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34A259F5"/>
    <w:multiLevelType w:val="hybridMultilevel"/>
    <w:tmpl w:val="C7EA0DD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424B7A57"/>
    <w:multiLevelType w:val="hybridMultilevel"/>
    <w:tmpl w:val="7C460BE6"/>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1"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59500E8E"/>
    <w:multiLevelType w:val="hybridMultilevel"/>
    <w:tmpl w:val="0A64D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5A7D317C"/>
    <w:multiLevelType w:val="hybridMultilevel"/>
    <w:tmpl w:val="A964F7A8"/>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6B295319"/>
    <w:multiLevelType w:val="hybridMultilevel"/>
    <w:tmpl w:val="9B0EF2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712E4899"/>
    <w:multiLevelType w:val="multilevel"/>
    <w:tmpl w:val="D4DA5F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1931999">
    <w:abstractNumId w:val="13"/>
  </w:num>
  <w:num w:numId="2" w16cid:durableId="75979654">
    <w:abstractNumId w:val="15"/>
  </w:num>
  <w:num w:numId="3" w16cid:durableId="1904831463">
    <w:abstractNumId w:val="0"/>
  </w:num>
  <w:num w:numId="4" w16cid:durableId="1503398700">
    <w:abstractNumId w:val="11"/>
  </w:num>
  <w:num w:numId="5" w16cid:durableId="1035890506">
    <w:abstractNumId w:val="9"/>
  </w:num>
  <w:num w:numId="6" w16cid:durableId="1804224680">
    <w:abstractNumId w:val="7"/>
  </w:num>
  <w:num w:numId="7" w16cid:durableId="2060200701">
    <w:abstractNumId w:val="16"/>
  </w:num>
  <w:num w:numId="8" w16cid:durableId="260378364">
    <w:abstractNumId w:val="6"/>
  </w:num>
  <w:num w:numId="9" w16cid:durableId="107169521">
    <w:abstractNumId w:val="17"/>
  </w:num>
  <w:num w:numId="10" w16cid:durableId="2117289083">
    <w:abstractNumId w:val="10"/>
  </w:num>
  <w:num w:numId="11" w16cid:durableId="1042285177">
    <w:abstractNumId w:val="14"/>
  </w:num>
  <w:num w:numId="12" w16cid:durableId="413472436">
    <w:abstractNumId w:val="8"/>
  </w:num>
  <w:num w:numId="13" w16cid:durableId="1990789623">
    <w:abstractNumId w:val="2"/>
  </w:num>
  <w:num w:numId="14" w16cid:durableId="1049305517">
    <w:abstractNumId w:val="18"/>
  </w:num>
  <w:num w:numId="15" w16cid:durableId="325205896">
    <w:abstractNumId w:val="3"/>
  </w:num>
  <w:num w:numId="16" w16cid:durableId="747115462">
    <w:abstractNumId w:val="1"/>
  </w:num>
  <w:num w:numId="17" w16cid:durableId="484049716">
    <w:abstractNumId w:val="5"/>
  </w:num>
  <w:num w:numId="18" w16cid:durableId="919170512">
    <w:abstractNumId w:val="12"/>
  </w:num>
  <w:num w:numId="19" w16cid:durableId="15496829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0" w:nlCheck="1" w:checkStyle="0"/>
  <w:activeWritingStyle w:appName="MSWord" w:lang="es-ES" w:vendorID="64" w:dllVersion="0" w:nlCheck="1" w:checkStyle="0"/>
  <w:activeWritingStyle w:appName="MSWord" w:lang="nl-NL" w:vendorID="64" w:dllVersion="0"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53B"/>
    <w:rsid w:val="0002543F"/>
    <w:rsid w:val="00032E76"/>
    <w:rsid w:val="00071D94"/>
    <w:rsid w:val="000808E3"/>
    <w:rsid w:val="000969B1"/>
    <w:rsid w:val="000C3116"/>
    <w:rsid w:val="000C338A"/>
    <w:rsid w:val="000D5EDC"/>
    <w:rsid w:val="000E3179"/>
    <w:rsid w:val="000F2478"/>
    <w:rsid w:val="00125C2F"/>
    <w:rsid w:val="00131343"/>
    <w:rsid w:val="001331B6"/>
    <w:rsid w:val="00185ED2"/>
    <w:rsid w:val="001B1D88"/>
    <w:rsid w:val="001B7850"/>
    <w:rsid w:val="00254F16"/>
    <w:rsid w:val="002A06C2"/>
    <w:rsid w:val="002B04E0"/>
    <w:rsid w:val="002D7EFC"/>
    <w:rsid w:val="002E2D27"/>
    <w:rsid w:val="002E55BA"/>
    <w:rsid w:val="002F6B2D"/>
    <w:rsid w:val="0033291B"/>
    <w:rsid w:val="00390CC1"/>
    <w:rsid w:val="003A537F"/>
    <w:rsid w:val="003C49E5"/>
    <w:rsid w:val="003C4CA4"/>
    <w:rsid w:val="00412D4C"/>
    <w:rsid w:val="004B1205"/>
    <w:rsid w:val="004B653B"/>
    <w:rsid w:val="00530078"/>
    <w:rsid w:val="00535429"/>
    <w:rsid w:val="00552F47"/>
    <w:rsid w:val="005E4B1D"/>
    <w:rsid w:val="005F3A64"/>
    <w:rsid w:val="0067453B"/>
    <w:rsid w:val="006C20DF"/>
    <w:rsid w:val="006C502E"/>
    <w:rsid w:val="006D49A7"/>
    <w:rsid w:val="006E2B14"/>
    <w:rsid w:val="007079C1"/>
    <w:rsid w:val="00711C0F"/>
    <w:rsid w:val="00713D75"/>
    <w:rsid w:val="007329D3"/>
    <w:rsid w:val="00750965"/>
    <w:rsid w:val="007B4007"/>
    <w:rsid w:val="007F47B5"/>
    <w:rsid w:val="008208D6"/>
    <w:rsid w:val="008266E0"/>
    <w:rsid w:val="00846E73"/>
    <w:rsid w:val="00873CA7"/>
    <w:rsid w:val="00895DB6"/>
    <w:rsid w:val="00895E65"/>
    <w:rsid w:val="008E2D64"/>
    <w:rsid w:val="0095779A"/>
    <w:rsid w:val="00993EF9"/>
    <w:rsid w:val="009B2955"/>
    <w:rsid w:val="009B53E5"/>
    <w:rsid w:val="009D4AC1"/>
    <w:rsid w:val="009F095C"/>
    <w:rsid w:val="00A24803"/>
    <w:rsid w:val="00A40F02"/>
    <w:rsid w:val="00A42F8F"/>
    <w:rsid w:val="00A57918"/>
    <w:rsid w:val="00A83505"/>
    <w:rsid w:val="00AD347A"/>
    <w:rsid w:val="00AD7371"/>
    <w:rsid w:val="00AF1C04"/>
    <w:rsid w:val="00B02EDB"/>
    <w:rsid w:val="00B135BF"/>
    <w:rsid w:val="00B24B22"/>
    <w:rsid w:val="00B436EB"/>
    <w:rsid w:val="00B55EE2"/>
    <w:rsid w:val="00B640B4"/>
    <w:rsid w:val="00C51A5B"/>
    <w:rsid w:val="00C71D38"/>
    <w:rsid w:val="00C75647"/>
    <w:rsid w:val="00C85CB5"/>
    <w:rsid w:val="00CA5340"/>
    <w:rsid w:val="00CC124C"/>
    <w:rsid w:val="00CD3B67"/>
    <w:rsid w:val="00CF3827"/>
    <w:rsid w:val="00D836DD"/>
    <w:rsid w:val="00DC4BE8"/>
    <w:rsid w:val="00DC53A0"/>
    <w:rsid w:val="00DC551B"/>
    <w:rsid w:val="00DE0388"/>
    <w:rsid w:val="00E53B97"/>
    <w:rsid w:val="00E84AF0"/>
    <w:rsid w:val="00EB0AE4"/>
    <w:rsid w:val="00F13902"/>
    <w:rsid w:val="00F31726"/>
    <w:rsid w:val="00F44A11"/>
    <w:rsid w:val="00F46745"/>
    <w:rsid w:val="00F71601"/>
    <w:rsid w:val="00FE62A0"/>
    <w:rsid w:val="00FF3B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D1AC9F"/>
  <w15:chartTrackingRefBased/>
  <w15:docId w15:val="{A0CD137F-7EC2-4A49-AAAE-8FF7227E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7453B"/>
    <w:pPr>
      <w:spacing w:before="100" w:beforeAutospacing="1" w:after="100" w:afterAutospacing="1"/>
    </w:pPr>
    <w:rPr>
      <w:rFonts w:ascii="Times New Roman" w:eastAsia="Times New Roman" w:hAnsi="Times New Roman" w:cs="Times New Roman"/>
      <w:kern w:val="0"/>
      <w:lang w:eastAsia="es-ES_tradnl"/>
      <w14:ligatures w14:val="none"/>
    </w:rPr>
  </w:style>
  <w:style w:type="table" w:styleId="Grilledutableau">
    <w:name w:val="Table Grid"/>
    <w:basedOn w:val="TableauNormal"/>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C502E"/>
    <w:pPr>
      <w:ind w:left="720"/>
      <w:contextualSpacing/>
    </w:pPr>
  </w:style>
  <w:style w:type="character" w:customStyle="1" w:styleId="ui-provider">
    <w:name w:val="ui-provider"/>
    <w:basedOn w:val="Policepardfaut"/>
    <w:rsid w:val="001B1D88"/>
  </w:style>
  <w:style w:type="character" w:styleId="Lienhypertexte">
    <w:name w:val="Hyperlink"/>
    <w:basedOn w:val="Policepardfaut"/>
    <w:uiPriority w:val="99"/>
    <w:unhideWhenUsed/>
    <w:rsid w:val="001B1D88"/>
    <w:rPr>
      <w:color w:val="0000FF"/>
      <w:u w:val="single"/>
    </w:rPr>
  </w:style>
  <w:style w:type="character" w:customStyle="1" w:styleId="Mentionnonrsolue1">
    <w:name w:val="Mention non résolue1"/>
    <w:basedOn w:val="Policepardfaut"/>
    <w:uiPriority w:val="99"/>
    <w:semiHidden/>
    <w:unhideWhenUsed/>
    <w:rsid w:val="00F31726"/>
    <w:rPr>
      <w:color w:val="605E5C"/>
      <w:shd w:val="clear" w:color="auto" w:fill="E1DFDD"/>
    </w:rPr>
  </w:style>
  <w:style w:type="character" w:styleId="Lienhypertextesuivivisit">
    <w:name w:val="FollowedHyperlink"/>
    <w:basedOn w:val="Policepardfaut"/>
    <w:uiPriority w:val="99"/>
    <w:semiHidden/>
    <w:unhideWhenUsed/>
    <w:rsid w:val="00F31726"/>
    <w:rPr>
      <w:color w:val="954F72" w:themeColor="followedHyperlink"/>
      <w:u w:val="single"/>
    </w:rPr>
  </w:style>
  <w:style w:type="paragraph" w:styleId="PrformatHTML">
    <w:name w:val="HTML Preformatted"/>
    <w:basedOn w:val="Normal"/>
    <w:link w:val="PrformatHTMLCar"/>
    <w:uiPriority w:val="99"/>
    <w:unhideWhenUsed/>
    <w:rsid w:val="006C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es-ES_tradnl"/>
      <w14:ligatures w14:val="none"/>
    </w:rPr>
  </w:style>
  <w:style w:type="character" w:customStyle="1" w:styleId="PrformatHTMLCar">
    <w:name w:val="Préformaté HTML Car"/>
    <w:basedOn w:val="Policepardfaut"/>
    <w:link w:val="PrformatHTML"/>
    <w:uiPriority w:val="99"/>
    <w:rsid w:val="006C20DF"/>
    <w:rPr>
      <w:rFonts w:ascii="Courier New" w:eastAsia="Times New Roman" w:hAnsi="Courier New" w:cs="Courier New"/>
      <w:kern w:val="0"/>
      <w:sz w:val="20"/>
      <w:szCs w:val="20"/>
      <w:lang w:eastAsia="es-ES_tradnl"/>
      <w14:ligatures w14:val="none"/>
    </w:rPr>
  </w:style>
  <w:style w:type="character" w:customStyle="1" w:styleId="y2iqfc">
    <w:name w:val="y2iqfc"/>
    <w:basedOn w:val="Policepardfaut"/>
    <w:rsid w:val="006C20DF"/>
  </w:style>
  <w:style w:type="character" w:customStyle="1" w:styleId="outputecliaff">
    <w:name w:val="outputecliaff"/>
    <w:basedOn w:val="Policepardfaut"/>
    <w:rsid w:val="00AF1C04"/>
  </w:style>
  <w:style w:type="character" w:customStyle="1" w:styleId="field-content">
    <w:name w:val="field-content"/>
    <w:basedOn w:val="Policepardfaut"/>
    <w:rsid w:val="00EB0AE4"/>
  </w:style>
  <w:style w:type="character" w:styleId="Marquedecommentaire">
    <w:name w:val="annotation reference"/>
    <w:basedOn w:val="Policepardfaut"/>
    <w:uiPriority w:val="99"/>
    <w:semiHidden/>
    <w:unhideWhenUsed/>
    <w:rsid w:val="00895DB6"/>
    <w:rPr>
      <w:sz w:val="16"/>
      <w:szCs w:val="16"/>
    </w:rPr>
  </w:style>
  <w:style w:type="paragraph" w:styleId="Commentaire">
    <w:name w:val="annotation text"/>
    <w:basedOn w:val="Normal"/>
    <w:link w:val="CommentaireCar"/>
    <w:uiPriority w:val="99"/>
    <w:unhideWhenUsed/>
    <w:rsid w:val="00895DB6"/>
    <w:rPr>
      <w:sz w:val="20"/>
      <w:szCs w:val="20"/>
    </w:rPr>
  </w:style>
  <w:style w:type="character" w:customStyle="1" w:styleId="CommentaireCar">
    <w:name w:val="Commentaire Car"/>
    <w:basedOn w:val="Policepardfaut"/>
    <w:link w:val="Commentaire"/>
    <w:uiPriority w:val="99"/>
    <w:rsid w:val="00895DB6"/>
    <w:rPr>
      <w:sz w:val="20"/>
      <w:szCs w:val="20"/>
    </w:rPr>
  </w:style>
  <w:style w:type="paragraph" w:styleId="Objetducommentaire">
    <w:name w:val="annotation subject"/>
    <w:basedOn w:val="Commentaire"/>
    <w:next w:val="Commentaire"/>
    <w:link w:val="ObjetducommentaireCar"/>
    <w:uiPriority w:val="99"/>
    <w:semiHidden/>
    <w:unhideWhenUsed/>
    <w:rsid w:val="00895DB6"/>
    <w:rPr>
      <w:b/>
      <w:bCs/>
    </w:rPr>
  </w:style>
  <w:style w:type="character" w:customStyle="1" w:styleId="ObjetducommentaireCar">
    <w:name w:val="Objet du commentaire Car"/>
    <w:basedOn w:val="CommentaireCar"/>
    <w:link w:val="Objetducommentaire"/>
    <w:uiPriority w:val="99"/>
    <w:semiHidden/>
    <w:rsid w:val="00895DB6"/>
    <w:rPr>
      <w:b/>
      <w:bCs/>
      <w:sz w:val="20"/>
      <w:szCs w:val="20"/>
    </w:rPr>
  </w:style>
  <w:style w:type="paragraph" w:styleId="Rvision">
    <w:name w:val="Revision"/>
    <w:hidden/>
    <w:uiPriority w:val="99"/>
    <w:semiHidden/>
    <w:rsid w:val="00895DB6"/>
  </w:style>
  <w:style w:type="paragraph" w:styleId="Textedebulles">
    <w:name w:val="Balloon Text"/>
    <w:basedOn w:val="Normal"/>
    <w:link w:val="TextedebullesCar"/>
    <w:uiPriority w:val="99"/>
    <w:semiHidden/>
    <w:unhideWhenUsed/>
    <w:rsid w:val="006E2B14"/>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2B14"/>
    <w:rPr>
      <w:rFonts w:ascii="Segoe UI" w:hAnsi="Segoe UI" w:cs="Segoe UI"/>
      <w:sz w:val="18"/>
      <w:szCs w:val="18"/>
    </w:rPr>
  </w:style>
  <w:style w:type="paragraph" w:styleId="En-tte">
    <w:name w:val="header"/>
    <w:basedOn w:val="Normal"/>
    <w:link w:val="En-tteCar"/>
    <w:uiPriority w:val="99"/>
    <w:unhideWhenUsed/>
    <w:rsid w:val="009F095C"/>
    <w:pPr>
      <w:tabs>
        <w:tab w:val="center" w:pos="4536"/>
        <w:tab w:val="right" w:pos="9072"/>
      </w:tabs>
    </w:pPr>
  </w:style>
  <w:style w:type="character" w:customStyle="1" w:styleId="En-tteCar">
    <w:name w:val="En-tête Car"/>
    <w:basedOn w:val="Policepardfaut"/>
    <w:link w:val="En-tte"/>
    <w:uiPriority w:val="99"/>
    <w:rsid w:val="009F095C"/>
  </w:style>
  <w:style w:type="paragraph" w:styleId="Pieddepage">
    <w:name w:val="footer"/>
    <w:basedOn w:val="Normal"/>
    <w:link w:val="PieddepageCar"/>
    <w:uiPriority w:val="99"/>
    <w:unhideWhenUsed/>
    <w:rsid w:val="009F095C"/>
    <w:pPr>
      <w:tabs>
        <w:tab w:val="center" w:pos="4536"/>
        <w:tab w:val="right" w:pos="9072"/>
      </w:tabs>
    </w:pPr>
  </w:style>
  <w:style w:type="character" w:customStyle="1" w:styleId="PieddepageCar">
    <w:name w:val="Pied de page Car"/>
    <w:basedOn w:val="Policepardfaut"/>
    <w:link w:val="Pieddepage"/>
    <w:uiPriority w:val="99"/>
    <w:rsid w:val="009F0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0679">
      <w:bodyDiv w:val="1"/>
      <w:marLeft w:val="0"/>
      <w:marRight w:val="0"/>
      <w:marTop w:val="0"/>
      <w:marBottom w:val="0"/>
      <w:divBdr>
        <w:top w:val="none" w:sz="0" w:space="0" w:color="auto"/>
        <w:left w:val="none" w:sz="0" w:space="0" w:color="auto"/>
        <w:bottom w:val="none" w:sz="0" w:space="0" w:color="auto"/>
        <w:right w:val="none" w:sz="0" w:space="0" w:color="auto"/>
      </w:divBdr>
      <w:divsChild>
        <w:div w:id="1275135033">
          <w:marLeft w:val="0"/>
          <w:marRight w:val="0"/>
          <w:marTop w:val="0"/>
          <w:marBottom w:val="0"/>
          <w:divBdr>
            <w:top w:val="none" w:sz="0" w:space="0" w:color="auto"/>
            <w:left w:val="none" w:sz="0" w:space="0" w:color="auto"/>
            <w:bottom w:val="none" w:sz="0" w:space="0" w:color="auto"/>
            <w:right w:val="none" w:sz="0" w:space="0" w:color="auto"/>
          </w:divBdr>
          <w:divsChild>
            <w:div w:id="2001540139">
              <w:marLeft w:val="0"/>
              <w:marRight w:val="0"/>
              <w:marTop w:val="0"/>
              <w:marBottom w:val="0"/>
              <w:divBdr>
                <w:top w:val="none" w:sz="0" w:space="0" w:color="auto"/>
                <w:left w:val="none" w:sz="0" w:space="0" w:color="auto"/>
                <w:bottom w:val="none" w:sz="0" w:space="0" w:color="auto"/>
                <w:right w:val="none" w:sz="0" w:space="0" w:color="auto"/>
              </w:divBdr>
              <w:divsChild>
                <w:div w:id="233392065">
                  <w:marLeft w:val="0"/>
                  <w:marRight w:val="0"/>
                  <w:marTop w:val="0"/>
                  <w:marBottom w:val="0"/>
                  <w:divBdr>
                    <w:top w:val="none" w:sz="0" w:space="0" w:color="auto"/>
                    <w:left w:val="none" w:sz="0" w:space="0" w:color="auto"/>
                    <w:bottom w:val="none" w:sz="0" w:space="0" w:color="auto"/>
                    <w:right w:val="none" w:sz="0" w:space="0" w:color="auto"/>
                  </w:divBdr>
                </w:div>
                <w:div w:id="14435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2452">
      <w:bodyDiv w:val="1"/>
      <w:marLeft w:val="0"/>
      <w:marRight w:val="0"/>
      <w:marTop w:val="0"/>
      <w:marBottom w:val="0"/>
      <w:divBdr>
        <w:top w:val="none" w:sz="0" w:space="0" w:color="auto"/>
        <w:left w:val="none" w:sz="0" w:space="0" w:color="auto"/>
        <w:bottom w:val="none" w:sz="0" w:space="0" w:color="auto"/>
        <w:right w:val="none" w:sz="0" w:space="0" w:color="auto"/>
      </w:divBdr>
      <w:divsChild>
        <w:div w:id="819541476">
          <w:marLeft w:val="0"/>
          <w:marRight w:val="0"/>
          <w:marTop w:val="0"/>
          <w:marBottom w:val="0"/>
          <w:divBdr>
            <w:top w:val="none" w:sz="0" w:space="0" w:color="auto"/>
            <w:left w:val="none" w:sz="0" w:space="0" w:color="auto"/>
            <w:bottom w:val="none" w:sz="0" w:space="0" w:color="auto"/>
            <w:right w:val="none" w:sz="0" w:space="0" w:color="auto"/>
          </w:divBdr>
          <w:divsChild>
            <w:div w:id="564878801">
              <w:marLeft w:val="0"/>
              <w:marRight w:val="0"/>
              <w:marTop w:val="0"/>
              <w:marBottom w:val="0"/>
              <w:divBdr>
                <w:top w:val="none" w:sz="0" w:space="0" w:color="auto"/>
                <w:left w:val="none" w:sz="0" w:space="0" w:color="auto"/>
                <w:bottom w:val="none" w:sz="0" w:space="0" w:color="auto"/>
                <w:right w:val="none" w:sz="0" w:space="0" w:color="auto"/>
              </w:divBdr>
              <w:divsChild>
                <w:div w:id="373620760">
                  <w:marLeft w:val="0"/>
                  <w:marRight w:val="0"/>
                  <w:marTop w:val="0"/>
                  <w:marBottom w:val="0"/>
                  <w:divBdr>
                    <w:top w:val="none" w:sz="0" w:space="0" w:color="auto"/>
                    <w:left w:val="none" w:sz="0" w:space="0" w:color="auto"/>
                    <w:bottom w:val="none" w:sz="0" w:space="0" w:color="auto"/>
                    <w:right w:val="none" w:sz="0" w:space="0" w:color="auto"/>
                  </w:divBdr>
                </w:div>
              </w:divsChild>
            </w:div>
            <w:div w:id="694232970">
              <w:marLeft w:val="0"/>
              <w:marRight w:val="0"/>
              <w:marTop w:val="0"/>
              <w:marBottom w:val="0"/>
              <w:divBdr>
                <w:top w:val="none" w:sz="0" w:space="0" w:color="auto"/>
                <w:left w:val="none" w:sz="0" w:space="0" w:color="auto"/>
                <w:bottom w:val="none" w:sz="0" w:space="0" w:color="auto"/>
                <w:right w:val="none" w:sz="0" w:space="0" w:color="auto"/>
              </w:divBdr>
              <w:divsChild>
                <w:div w:id="400182525">
                  <w:marLeft w:val="0"/>
                  <w:marRight w:val="0"/>
                  <w:marTop w:val="0"/>
                  <w:marBottom w:val="0"/>
                  <w:divBdr>
                    <w:top w:val="none" w:sz="0" w:space="0" w:color="auto"/>
                    <w:left w:val="none" w:sz="0" w:space="0" w:color="auto"/>
                    <w:bottom w:val="none" w:sz="0" w:space="0" w:color="auto"/>
                    <w:right w:val="none" w:sz="0" w:space="0" w:color="auto"/>
                  </w:divBdr>
                  <w:divsChild>
                    <w:div w:id="10223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4395">
              <w:marLeft w:val="0"/>
              <w:marRight w:val="0"/>
              <w:marTop w:val="0"/>
              <w:marBottom w:val="0"/>
              <w:divBdr>
                <w:top w:val="none" w:sz="0" w:space="0" w:color="auto"/>
                <w:left w:val="none" w:sz="0" w:space="0" w:color="auto"/>
                <w:bottom w:val="none" w:sz="0" w:space="0" w:color="auto"/>
                <w:right w:val="none" w:sz="0" w:space="0" w:color="auto"/>
              </w:divBdr>
              <w:divsChild>
                <w:div w:id="169626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6620">
      <w:bodyDiv w:val="1"/>
      <w:marLeft w:val="0"/>
      <w:marRight w:val="0"/>
      <w:marTop w:val="0"/>
      <w:marBottom w:val="0"/>
      <w:divBdr>
        <w:top w:val="none" w:sz="0" w:space="0" w:color="auto"/>
        <w:left w:val="none" w:sz="0" w:space="0" w:color="auto"/>
        <w:bottom w:val="none" w:sz="0" w:space="0" w:color="auto"/>
        <w:right w:val="none" w:sz="0" w:space="0" w:color="auto"/>
      </w:divBdr>
    </w:div>
    <w:div w:id="258569339">
      <w:bodyDiv w:val="1"/>
      <w:marLeft w:val="0"/>
      <w:marRight w:val="0"/>
      <w:marTop w:val="0"/>
      <w:marBottom w:val="0"/>
      <w:divBdr>
        <w:top w:val="none" w:sz="0" w:space="0" w:color="auto"/>
        <w:left w:val="none" w:sz="0" w:space="0" w:color="auto"/>
        <w:bottom w:val="none" w:sz="0" w:space="0" w:color="auto"/>
        <w:right w:val="none" w:sz="0" w:space="0" w:color="auto"/>
      </w:divBdr>
    </w:div>
    <w:div w:id="259487098">
      <w:bodyDiv w:val="1"/>
      <w:marLeft w:val="0"/>
      <w:marRight w:val="0"/>
      <w:marTop w:val="0"/>
      <w:marBottom w:val="0"/>
      <w:divBdr>
        <w:top w:val="none" w:sz="0" w:space="0" w:color="auto"/>
        <w:left w:val="none" w:sz="0" w:space="0" w:color="auto"/>
        <w:bottom w:val="none" w:sz="0" w:space="0" w:color="auto"/>
        <w:right w:val="none" w:sz="0" w:space="0" w:color="auto"/>
      </w:divBdr>
      <w:divsChild>
        <w:div w:id="1547258625">
          <w:marLeft w:val="0"/>
          <w:marRight w:val="0"/>
          <w:marTop w:val="0"/>
          <w:marBottom w:val="0"/>
          <w:divBdr>
            <w:top w:val="none" w:sz="0" w:space="0" w:color="auto"/>
            <w:left w:val="none" w:sz="0" w:space="0" w:color="auto"/>
            <w:bottom w:val="none" w:sz="0" w:space="0" w:color="auto"/>
            <w:right w:val="none" w:sz="0" w:space="0" w:color="auto"/>
          </w:divBdr>
          <w:divsChild>
            <w:div w:id="510148912">
              <w:marLeft w:val="0"/>
              <w:marRight w:val="0"/>
              <w:marTop w:val="0"/>
              <w:marBottom w:val="0"/>
              <w:divBdr>
                <w:top w:val="none" w:sz="0" w:space="0" w:color="auto"/>
                <w:left w:val="none" w:sz="0" w:space="0" w:color="auto"/>
                <w:bottom w:val="none" w:sz="0" w:space="0" w:color="auto"/>
                <w:right w:val="none" w:sz="0" w:space="0" w:color="auto"/>
              </w:divBdr>
              <w:divsChild>
                <w:div w:id="8888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483085">
      <w:bodyDiv w:val="1"/>
      <w:marLeft w:val="0"/>
      <w:marRight w:val="0"/>
      <w:marTop w:val="0"/>
      <w:marBottom w:val="0"/>
      <w:divBdr>
        <w:top w:val="none" w:sz="0" w:space="0" w:color="auto"/>
        <w:left w:val="none" w:sz="0" w:space="0" w:color="auto"/>
        <w:bottom w:val="none" w:sz="0" w:space="0" w:color="auto"/>
        <w:right w:val="none" w:sz="0" w:space="0" w:color="auto"/>
      </w:divBdr>
      <w:divsChild>
        <w:div w:id="622885400">
          <w:marLeft w:val="0"/>
          <w:marRight w:val="0"/>
          <w:marTop w:val="0"/>
          <w:marBottom w:val="0"/>
          <w:divBdr>
            <w:top w:val="none" w:sz="0" w:space="0" w:color="auto"/>
            <w:left w:val="none" w:sz="0" w:space="0" w:color="auto"/>
            <w:bottom w:val="none" w:sz="0" w:space="0" w:color="auto"/>
            <w:right w:val="none" w:sz="0" w:space="0" w:color="auto"/>
          </w:divBdr>
          <w:divsChild>
            <w:div w:id="1536431353">
              <w:marLeft w:val="0"/>
              <w:marRight w:val="0"/>
              <w:marTop w:val="0"/>
              <w:marBottom w:val="0"/>
              <w:divBdr>
                <w:top w:val="none" w:sz="0" w:space="0" w:color="auto"/>
                <w:left w:val="none" w:sz="0" w:space="0" w:color="auto"/>
                <w:bottom w:val="none" w:sz="0" w:space="0" w:color="auto"/>
                <w:right w:val="none" w:sz="0" w:space="0" w:color="auto"/>
              </w:divBdr>
              <w:divsChild>
                <w:div w:id="909196076">
                  <w:marLeft w:val="0"/>
                  <w:marRight w:val="0"/>
                  <w:marTop w:val="0"/>
                  <w:marBottom w:val="0"/>
                  <w:divBdr>
                    <w:top w:val="none" w:sz="0" w:space="0" w:color="auto"/>
                    <w:left w:val="none" w:sz="0" w:space="0" w:color="auto"/>
                    <w:bottom w:val="none" w:sz="0" w:space="0" w:color="auto"/>
                    <w:right w:val="none" w:sz="0" w:space="0" w:color="auto"/>
                  </w:divBdr>
                </w:div>
                <w:div w:id="8479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464783072">
      <w:bodyDiv w:val="1"/>
      <w:marLeft w:val="0"/>
      <w:marRight w:val="0"/>
      <w:marTop w:val="0"/>
      <w:marBottom w:val="0"/>
      <w:divBdr>
        <w:top w:val="none" w:sz="0" w:space="0" w:color="auto"/>
        <w:left w:val="none" w:sz="0" w:space="0" w:color="auto"/>
        <w:bottom w:val="none" w:sz="0" w:space="0" w:color="auto"/>
        <w:right w:val="none" w:sz="0" w:space="0" w:color="auto"/>
      </w:divBdr>
    </w:div>
    <w:div w:id="476148355">
      <w:bodyDiv w:val="1"/>
      <w:marLeft w:val="0"/>
      <w:marRight w:val="0"/>
      <w:marTop w:val="0"/>
      <w:marBottom w:val="0"/>
      <w:divBdr>
        <w:top w:val="none" w:sz="0" w:space="0" w:color="auto"/>
        <w:left w:val="none" w:sz="0" w:space="0" w:color="auto"/>
        <w:bottom w:val="none" w:sz="0" w:space="0" w:color="auto"/>
        <w:right w:val="none" w:sz="0" w:space="0" w:color="auto"/>
      </w:divBdr>
      <w:divsChild>
        <w:div w:id="1680547089">
          <w:marLeft w:val="0"/>
          <w:marRight w:val="0"/>
          <w:marTop w:val="0"/>
          <w:marBottom w:val="0"/>
          <w:divBdr>
            <w:top w:val="none" w:sz="0" w:space="0" w:color="auto"/>
            <w:left w:val="none" w:sz="0" w:space="0" w:color="auto"/>
            <w:bottom w:val="none" w:sz="0" w:space="0" w:color="auto"/>
            <w:right w:val="none" w:sz="0" w:space="0" w:color="auto"/>
          </w:divBdr>
          <w:divsChild>
            <w:div w:id="1638338443">
              <w:marLeft w:val="0"/>
              <w:marRight w:val="0"/>
              <w:marTop w:val="0"/>
              <w:marBottom w:val="0"/>
              <w:divBdr>
                <w:top w:val="none" w:sz="0" w:space="0" w:color="auto"/>
                <w:left w:val="none" w:sz="0" w:space="0" w:color="auto"/>
                <w:bottom w:val="none" w:sz="0" w:space="0" w:color="auto"/>
                <w:right w:val="none" w:sz="0" w:space="0" w:color="auto"/>
              </w:divBdr>
              <w:divsChild>
                <w:div w:id="91135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7324">
      <w:bodyDiv w:val="1"/>
      <w:marLeft w:val="0"/>
      <w:marRight w:val="0"/>
      <w:marTop w:val="0"/>
      <w:marBottom w:val="0"/>
      <w:divBdr>
        <w:top w:val="none" w:sz="0" w:space="0" w:color="auto"/>
        <w:left w:val="none" w:sz="0" w:space="0" w:color="auto"/>
        <w:bottom w:val="none" w:sz="0" w:space="0" w:color="auto"/>
        <w:right w:val="none" w:sz="0" w:space="0" w:color="auto"/>
      </w:divBdr>
    </w:div>
    <w:div w:id="565729123">
      <w:bodyDiv w:val="1"/>
      <w:marLeft w:val="0"/>
      <w:marRight w:val="0"/>
      <w:marTop w:val="0"/>
      <w:marBottom w:val="0"/>
      <w:divBdr>
        <w:top w:val="none" w:sz="0" w:space="0" w:color="auto"/>
        <w:left w:val="none" w:sz="0" w:space="0" w:color="auto"/>
        <w:bottom w:val="none" w:sz="0" w:space="0" w:color="auto"/>
        <w:right w:val="none" w:sz="0" w:space="0" w:color="auto"/>
      </w:divBdr>
    </w:div>
    <w:div w:id="577324589">
      <w:bodyDiv w:val="1"/>
      <w:marLeft w:val="0"/>
      <w:marRight w:val="0"/>
      <w:marTop w:val="0"/>
      <w:marBottom w:val="0"/>
      <w:divBdr>
        <w:top w:val="none" w:sz="0" w:space="0" w:color="auto"/>
        <w:left w:val="none" w:sz="0" w:space="0" w:color="auto"/>
        <w:bottom w:val="none" w:sz="0" w:space="0" w:color="auto"/>
        <w:right w:val="none" w:sz="0" w:space="0" w:color="auto"/>
      </w:divBdr>
      <w:divsChild>
        <w:div w:id="116610829">
          <w:marLeft w:val="0"/>
          <w:marRight w:val="0"/>
          <w:marTop w:val="0"/>
          <w:marBottom w:val="0"/>
          <w:divBdr>
            <w:top w:val="none" w:sz="0" w:space="0" w:color="auto"/>
            <w:left w:val="none" w:sz="0" w:space="0" w:color="auto"/>
            <w:bottom w:val="none" w:sz="0" w:space="0" w:color="auto"/>
            <w:right w:val="none" w:sz="0" w:space="0" w:color="auto"/>
          </w:divBdr>
          <w:divsChild>
            <w:div w:id="2057703509">
              <w:marLeft w:val="0"/>
              <w:marRight w:val="0"/>
              <w:marTop w:val="0"/>
              <w:marBottom w:val="0"/>
              <w:divBdr>
                <w:top w:val="none" w:sz="0" w:space="0" w:color="auto"/>
                <w:left w:val="none" w:sz="0" w:space="0" w:color="auto"/>
                <w:bottom w:val="none" w:sz="0" w:space="0" w:color="auto"/>
                <w:right w:val="none" w:sz="0" w:space="0" w:color="auto"/>
              </w:divBdr>
              <w:divsChild>
                <w:div w:id="384986638">
                  <w:marLeft w:val="0"/>
                  <w:marRight w:val="0"/>
                  <w:marTop w:val="0"/>
                  <w:marBottom w:val="0"/>
                  <w:divBdr>
                    <w:top w:val="none" w:sz="0" w:space="0" w:color="auto"/>
                    <w:left w:val="none" w:sz="0" w:space="0" w:color="auto"/>
                    <w:bottom w:val="none" w:sz="0" w:space="0" w:color="auto"/>
                    <w:right w:val="none" w:sz="0" w:space="0" w:color="auto"/>
                  </w:divBdr>
                </w:div>
                <w:div w:id="8464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714">
      <w:bodyDiv w:val="1"/>
      <w:marLeft w:val="0"/>
      <w:marRight w:val="0"/>
      <w:marTop w:val="0"/>
      <w:marBottom w:val="0"/>
      <w:divBdr>
        <w:top w:val="none" w:sz="0" w:space="0" w:color="auto"/>
        <w:left w:val="none" w:sz="0" w:space="0" w:color="auto"/>
        <w:bottom w:val="none" w:sz="0" w:space="0" w:color="auto"/>
        <w:right w:val="none" w:sz="0" w:space="0" w:color="auto"/>
      </w:divBdr>
      <w:divsChild>
        <w:div w:id="1060831633">
          <w:marLeft w:val="0"/>
          <w:marRight w:val="0"/>
          <w:marTop w:val="0"/>
          <w:marBottom w:val="0"/>
          <w:divBdr>
            <w:top w:val="none" w:sz="0" w:space="0" w:color="auto"/>
            <w:left w:val="none" w:sz="0" w:space="0" w:color="auto"/>
            <w:bottom w:val="none" w:sz="0" w:space="0" w:color="auto"/>
            <w:right w:val="none" w:sz="0" w:space="0" w:color="auto"/>
          </w:divBdr>
          <w:divsChild>
            <w:div w:id="92406695">
              <w:marLeft w:val="0"/>
              <w:marRight w:val="0"/>
              <w:marTop w:val="0"/>
              <w:marBottom w:val="0"/>
              <w:divBdr>
                <w:top w:val="none" w:sz="0" w:space="0" w:color="auto"/>
                <w:left w:val="none" w:sz="0" w:space="0" w:color="auto"/>
                <w:bottom w:val="none" w:sz="0" w:space="0" w:color="auto"/>
                <w:right w:val="none" w:sz="0" w:space="0" w:color="auto"/>
              </w:divBdr>
              <w:divsChild>
                <w:div w:id="1998069452">
                  <w:marLeft w:val="0"/>
                  <w:marRight w:val="0"/>
                  <w:marTop w:val="0"/>
                  <w:marBottom w:val="0"/>
                  <w:divBdr>
                    <w:top w:val="none" w:sz="0" w:space="0" w:color="auto"/>
                    <w:left w:val="none" w:sz="0" w:space="0" w:color="auto"/>
                    <w:bottom w:val="none" w:sz="0" w:space="0" w:color="auto"/>
                    <w:right w:val="none" w:sz="0" w:space="0" w:color="auto"/>
                  </w:divBdr>
                  <w:divsChild>
                    <w:div w:id="69535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9435">
              <w:marLeft w:val="0"/>
              <w:marRight w:val="0"/>
              <w:marTop w:val="0"/>
              <w:marBottom w:val="0"/>
              <w:divBdr>
                <w:top w:val="none" w:sz="0" w:space="0" w:color="auto"/>
                <w:left w:val="none" w:sz="0" w:space="0" w:color="auto"/>
                <w:bottom w:val="none" w:sz="0" w:space="0" w:color="auto"/>
                <w:right w:val="none" w:sz="0" w:space="0" w:color="auto"/>
              </w:divBdr>
              <w:divsChild>
                <w:div w:id="591158347">
                  <w:marLeft w:val="0"/>
                  <w:marRight w:val="0"/>
                  <w:marTop w:val="0"/>
                  <w:marBottom w:val="0"/>
                  <w:divBdr>
                    <w:top w:val="none" w:sz="0" w:space="0" w:color="auto"/>
                    <w:left w:val="none" w:sz="0" w:space="0" w:color="auto"/>
                    <w:bottom w:val="none" w:sz="0" w:space="0" w:color="auto"/>
                    <w:right w:val="none" w:sz="0" w:space="0" w:color="auto"/>
                  </w:divBdr>
                </w:div>
                <w:div w:id="14850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5152">
      <w:bodyDiv w:val="1"/>
      <w:marLeft w:val="0"/>
      <w:marRight w:val="0"/>
      <w:marTop w:val="0"/>
      <w:marBottom w:val="0"/>
      <w:divBdr>
        <w:top w:val="none" w:sz="0" w:space="0" w:color="auto"/>
        <w:left w:val="none" w:sz="0" w:space="0" w:color="auto"/>
        <w:bottom w:val="none" w:sz="0" w:space="0" w:color="auto"/>
        <w:right w:val="none" w:sz="0" w:space="0" w:color="auto"/>
      </w:divBdr>
    </w:div>
    <w:div w:id="670455075">
      <w:bodyDiv w:val="1"/>
      <w:marLeft w:val="0"/>
      <w:marRight w:val="0"/>
      <w:marTop w:val="0"/>
      <w:marBottom w:val="0"/>
      <w:divBdr>
        <w:top w:val="none" w:sz="0" w:space="0" w:color="auto"/>
        <w:left w:val="none" w:sz="0" w:space="0" w:color="auto"/>
        <w:bottom w:val="none" w:sz="0" w:space="0" w:color="auto"/>
        <w:right w:val="none" w:sz="0" w:space="0" w:color="auto"/>
      </w:divBdr>
    </w:div>
    <w:div w:id="756557568">
      <w:bodyDiv w:val="1"/>
      <w:marLeft w:val="0"/>
      <w:marRight w:val="0"/>
      <w:marTop w:val="0"/>
      <w:marBottom w:val="0"/>
      <w:divBdr>
        <w:top w:val="none" w:sz="0" w:space="0" w:color="auto"/>
        <w:left w:val="none" w:sz="0" w:space="0" w:color="auto"/>
        <w:bottom w:val="none" w:sz="0" w:space="0" w:color="auto"/>
        <w:right w:val="none" w:sz="0" w:space="0" w:color="auto"/>
      </w:divBdr>
      <w:divsChild>
        <w:div w:id="643311063">
          <w:marLeft w:val="0"/>
          <w:marRight w:val="0"/>
          <w:marTop w:val="0"/>
          <w:marBottom w:val="0"/>
          <w:divBdr>
            <w:top w:val="none" w:sz="0" w:space="0" w:color="auto"/>
            <w:left w:val="none" w:sz="0" w:space="0" w:color="auto"/>
            <w:bottom w:val="none" w:sz="0" w:space="0" w:color="auto"/>
            <w:right w:val="none" w:sz="0" w:space="0" w:color="auto"/>
          </w:divBdr>
          <w:divsChild>
            <w:div w:id="940145403">
              <w:marLeft w:val="0"/>
              <w:marRight w:val="0"/>
              <w:marTop w:val="0"/>
              <w:marBottom w:val="0"/>
              <w:divBdr>
                <w:top w:val="none" w:sz="0" w:space="0" w:color="auto"/>
                <w:left w:val="none" w:sz="0" w:space="0" w:color="auto"/>
                <w:bottom w:val="none" w:sz="0" w:space="0" w:color="auto"/>
                <w:right w:val="none" w:sz="0" w:space="0" w:color="auto"/>
              </w:divBdr>
              <w:divsChild>
                <w:div w:id="6416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950043">
      <w:bodyDiv w:val="1"/>
      <w:marLeft w:val="0"/>
      <w:marRight w:val="0"/>
      <w:marTop w:val="0"/>
      <w:marBottom w:val="0"/>
      <w:divBdr>
        <w:top w:val="none" w:sz="0" w:space="0" w:color="auto"/>
        <w:left w:val="none" w:sz="0" w:space="0" w:color="auto"/>
        <w:bottom w:val="none" w:sz="0" w:space="0" w:color="auto"/>
        <w:right w:val="none" w:sz="0" w:space="0" w:color="auto"/>
      </w:divBdr>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045449291">
      <w:bodyDiv w:val="1"/>
      <w:marLeft w:val="0"/>
      <w:marRight w:val="0"/>
      <w:marTop w:val="0"/>
      <w:marBottom w:val="0"/>
      <w:divBdr>
        <w:top w:val="none" w:sz="0" w:space="0" w:color="auto"/>
        <w:left w:val="none" w:sz="0" w:space="0" w:color="auto"/>
        <w:bottom w:val="none" w:sz="0" w:space="0" w:color="auto"/>
        <w:right w:val="none" w:sz="0" w:space="0" w:color="auto"/>
      </w:divBdr>
    </w:div>
    <w:div w:id="1124957854">
      <w:bodyDiv w:val="1"/>
      <w:marLeft w:val="0"/>
      <w:marRight w:val="0"/>
      <w:marTop w:val="0"/>
      <w:marBottom w:val="0"/>
      <w:divBdr>
        <w:top w:val="none" w:sz="0" w:space="0" w:color="auto"/>
        <w:left w:val="none" w:sz="0" w:space="0" w:color="auto"/>
        <w:bottom w:val="none" w:sz="0" w:space="0" w:color="auto"/>
        <w:right w:val="none" w:sz="0" w:space="0" w:color="auto"/>
      </w:divBdr>
    </w:div>
    <w:div w:id="1137065656">
      <w:bodyDiv w:val="1"/>
      <w:marLeft w:val="0"/>
      <w:marRight w:val="0"/>
      <w:marTop w:val="0"/>
      <w:marBottom w:val="0"/>
      <w:divBdr>
        <w:top w:val="none" w:sz="0" w:space="0" w:color="auto"/>
        <w:left w:val="none" w:sz="0" w:space="0" w:color="auto"/>
        <w:bottom w:val="none" w:sz="0" w:space="0" w:color="auto"/>
        <w:right w:val="none" w:sz="0" w:space="0" w:color="auto"/>
      </w:divBdr>
      <w:divsChild>
        <w:div w:id="36320655">
          <w:marLeft w:val="0"/>
          <w:marRight w:val="0"/>
          <w:marTop w:val="0"/>
          <w:marBottom w:val="0"/>
          <w:divBdr>
            <w:top w:val="none" w:sz="0" w:space="0" w:color="auto"/>
            <w:left w:val="none" w:sz="0" w:space="0" w:color="auto"/>
            <w:bottom w:val="none" w:sz="0" w:space="0" w:color="auto"/>
            <w:right w:val="none" w:sz="0" w:space="0" w:color="auto"/>
          </w:divBdr>
          <w:divsChild>
            <w:div w:id="2021809722">
              <w:marLeft w:val="0"/>
              <w:marRight w:val="0"/>
              <w:marTop w:val="0"/>
              <w:marBottom w:val="0"/>
              <w:divBdr>
                <w:top w:val="none" w:sz="0" w:space="0" w:color="auto"/>
                <w:left w:val="none" w:sz="0" w:space="0" w:color="auto"/>
                <w:bottom w:val="none" w:sz="0" w:space="0" w:color="auto"/>
                <w:right w:val="none" w:sz="0" w:space="0" w:color="auto"/>
              </w:divBdr>
              <w:divsChild>
                <w:div w:id="2011443267">
                  <w:marLeft w:val="0"/>
                  <w:marRight w:val="0"/>
                  <w:marTop w:val="0"/>
                  <w:marBottom w:val="0"/>
                  <w:divBdr>
                    <w:top w:val="none" w:sz="0" w:space="0" w:color="auto"/>
                    <w:left w:val="none" w:sz="0" w:space="0" w:color="auto"/>
                    <w:bottom w:val="none" w:sz="0" w:space="0" w:color="auto"/>
                    <w:right w:val="none" w:sz="0" w:space="0" w:color="auto"/>
                  </w:divBdr>
                </w:div>
                <w:div w:id="2143695455">
                  <w:marLeft w:val="0"/>
                  <w:marRight w:val="0"/>
                  <w:marTop w:val="0"/>
                  <w:marBottom w:val="0"/>
                  <w:divBdr>
                    <w:top w:val="none" w:sz="0" w:space="0" w:color="auto"/>
                    <w:left w:val="none" w:sz="0" w:space="0" w:color="auto"/>
                    <w:bottom w:val="none" w:sz="0" w:space="0" w:color="auto"/>
                    <w:right w:val="none" w:sz="0" w:space="0" w:color="auto"/>
                  </w:divBdr>
                </w:div>
              </w:divsChild>
            </w:div>
            <w:div w:id="113914180">
              <w:marLeft w:val="0"/>
              <w:marRight w:val="0"/>
              <w:marTop w:val="0"/>
              <w:marBottom w:val="0"/>
              <w:divBdr>
                <w:top w:val="none" w:sz="0" w:space="0" w:color="auto"/>
                <w:left w:val="none" w:sz="0" w:space="0" w:color="auto"/>
                <w:bottom w:val="none" w:sz="0" w:space="0" w:color="auto"/>
                <w:right w:val="none" w:sz="0" w:space="0" w:color="auto"/>
              </w:divBdr>
              <w:divsChild>
                <w:div w:id="17940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085156">
      <w:bodyDiv w:val="1"/>
      <w:marLeft w:val="0"/>
      <w:marRight w:val="0"/>
      <w:marTop w:val="0"/>
      <w:marBottom w:val="0"/>
      <w:divBdr>
        <w:top w:val="none" w:sz="0" w:space="0" w:color="auto"/>
        <w:left w:val="none" w:sz="0" w:space="0" w:color="auto"/>
        <w:bottom w:val="none" w:sz="0" w:space="0" w:color="auto"/>
        <w:right w:val="none" w:sz="0" w:space="0" w:color="auto"/>
      </w:divBdr>
    </w:div>
    <w:div w:id="1256406132">
      <w:bodyDiv w:val="1"/>
      <w:marLeft w:val="0"/>
      <w:marRight w:val="0"/>
      <w:marTop w:val="0"/>
      <w:marBottom w:val="0"/>
      <w:divBdr>
        <w:top w:val="none" w:sz="0" w:space="0" w:color="auto"/>
        <w:left w:val="none" w:sz="0" w:space="0" w:color="auto"/>
        <w:bottom w:val="none" w:sz="0" w:space="0" w:color="auto"/>
        <w:right w:val="none" w:sz="0" w:space="0" w:color="auto"/>
      </w:divBdr>
    </w:div>
    <w:div w:id="1317148910">
      <w:bodyDiv w:val="1"/>
      <w:marLeft w:val="0"/>
      <w:marRight w:val="0"/>
      <w:marTop w:val="0"/>
      <w:marBottom w:val="0"/>
      <w:divBdr>
        <w:top w:val="none" w:sz="0" w:space="0" w:color="auto"/>
        <w:left w:val="none" w:sz="0" w:space="0" w:color="auto"/>
        <w:bottom w:val="none" w:sz="0" w:space="0" w:color="auto"/>
        <w:right w:val="none" w:sz="0" w:space="0" w:color="auto"/>
      </w:divBdr>
      <w:divsChild>
        <w:div w:id="474033364">
          <w:marLeft w:val="0"/>
          <w:marRight w:val="0"/>
          <w:marTop w:val="0"/>
          <w:marBottom w:val="0"/>
          <w:divBdr>
            <w:top w:val="none" w:sz="0" w:space="0" w:color="auto"/>
            <w:left w:val="none" w:sz="0" w:space="0" w:color="auto"/>
            <w:bottom w:val="none" w:sz="0" w:space="0" w:color="auto"/>
            <w:right w:val="none" w:sz="0" w:space="0" w:color="auto"/>
          </w:divBdr>
          <w:divsChild>
            <w:div w:id="1414085473">
              <w:marLeft w:val="0"/>
              <w:marRight w:val="0"/>
              <w:marTop w:val="0"/>
              <w:marBottom w:val="0"/>
              <w:divBdr>
                <w:top w:val="none" w:sz="0" w:space="0" w:color="auto"/>
                <w:left w:val="none" w:sz="0" w:space="0" w:color="auto"/>
                <w:bottom w:val="none" w:sz="0" w:space="0" w:color="auto"/>
                <w:right w:val="none" w:sz="0" w:space="0" w:color="auto"/>
              </w:divBdr>
              <w:divsChild>
                <w:div w:id="1335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7692">
      <w:bodyDiv w:val="1"/>
      <w:marLeft w:val="0"/>
      <w:marRight w:val="0"/>
      <w:marTop w:val="0"/>
      <w:marBottom w:val="0"/>
      <w:divBdr>
        <w:top w:val="none" w:sz="0" w:space="0" w:color="auto"/>
        <w:left w:val="none" w:sz="0" w:space="0" w:color="auto"/>
        <w:bottom w:val="none" w:sz="0" w:space="0" w:color="auto"/>
        <w:right w:val="none" w:sz="0" w:space="0" w:color="auto"/>
      </w:divBdr>
    </w:div>
    <w:div w:id="1417481163">
      <w:bodyDiv w:val="1"/>
      <w:marLeft w:val="0"/>
      <w:marRight w:val="0"/>
      <w:marTop w:val="0"/>
      <w:marBottom w:val="0"/>
      <w:divBdr>
        <w:top w:val="none" w:sz="0" w:space="0" w:color="auto"/>
        <w:left w:val="none" w:sz="0" w:space="0" w:color="auto"/>
        <w:bottom w:val="none" w:sz="0" w:space="0" w:color="auto"/>
        <w:right w:val="none" w:sz="0" w:space="0" w:color="auto"/>
      </w:divBdr>
      <w:divsChild>
        <w:div w:id="508329938">
          <w:marLeft w:val="0"/>
          <w:marRight w:val="0"/>
          <w:marTop w:val="0"/>
          <w:marBottom w:val="0"/>
          <w:divBdr>
            <w:top w:val="none" w:sz="0" w:space="0" w:color="auto"/>
            <w:left w:val="none" w:sz="0" w:space="0" w:color="auto"/>
            <w:bottom w:val="none" w:sz="0" w:space="0" w:color="auto"/>
            <w:right w:val="none" w:sz="0" w:space="0" w:color="auto"/>
          </w:divBdr>
          <w:divsChild>
            <w:div w:id="15085712">
              <w:marLeft w:val="0"/>
              <w:marRight w:val="0"/>
              <w:marTop w:val="0"/>
              <w:marBottom w:val="0"/>
              <w:divBdr>
                <w:top w:val="none" w:sz="0" w:space="0" w:color="auto"/>
                <w:left w:val="none" w:sz="0" w:space="0" w:color="auto"/>
                <w:bottom w:val="none" w:sz="0" w:space="0" w:color="auto"/>
                <w:right w:val="none" w:sz="0" w:space="0" w:color="auto"/>
              </w:divBdr>
              <w:divsChild>
                <w:div w:id="1516263023">
                  <w:marLeft w:val="0"/>
                  <w:marRight w:val="0"/>
                  <w:marTop w:val="0"/>
                  <w:marBottom w:val="0"/>
                  <w:divBdr>
                    <w:top w:val="none" w:sz="0" w:space="0" w:color="auto"/>
                    <w:left w:val="none" w:sz="0" w:space="0" w:color="auto"/>
                    <w:bottom w:val="none" w:sz="0" w:space="0" w:color="auto"/>
                    <w:right w:val="none" w:sz="0" w:space="0" w:color="auto"/>
                  </w:divBdr>
                </w:div>
                <w:div w:id="1872105500">
                  <w:marLeft w:val="0"/>
                  <w:marRight w:val="0"/>
                  <w:marTop w:val="0"/>
                  <w:marBottom w:val="0"/>
                  <w:divBdr>
                    <w:top w:val="none" w:sz="0" w:space="0" w:color="auto"/>
                    <w:left w:val="none" w:sz="0" w:space="0" w:color="auto"/>
                    <w:bottom w:val="none" w:sz="0" w:space="0" w:color="auto"/>
                    <w:right w:val="none" w:sz="0" w:space="0" w:color="auto"/>
                  </w:divBdr>
                </w:div>
              </w:divsChild>
            </w:div>
            <w:div w:id="2069376548">
              <w:marLeft w:val="0"/>
              <w:marRight w:val="0"/>
              <w:marTop w:val="0"/>
              <w:marBottom w:val="0"/>
              <w:divBdr>
                <w:top w:val="none" w:sz="0" w:space="0" w:color="auto"/>
                <w:left w:val="none" w:sz="0" w:space="0" w:color="auto"/>
                <w:bottom w:val="none" w:sz="0" w:space="0" w:color="auto"/>
                <w:right w:val="none" w:sz="0" w:space="0" w:color="auto"/>
              </w:divBdr>
              <w:divsChild>
                <w:div w:id="1554074622">
                  <w:marLeft w:val="0"/>
                  <w:marRight w:val="0"/>
                  <w:marTop w:val="0"/>
                  <w:marBottom w:val="0"/>
                  <w:divBdr>
                    <w:top w:val="none" w:sz="0" w:space="0" w:color="auto"/>
                    <w:left w:val="none" w:sz="0" w:space="0" w:color="auto"/>
                    <w:bottom w:val="none" w:sz="0" w:space="0" w:color="auto"/>
                    <w:right w:val="none" w:sz="0" w:space="0" w:color="auto"/>
                  </w:divBdr>
                  <w:divsChild>
                    <w:div w:id="17684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7215">
              <w:marLeft w:val="0"/>
              <w:marRight w:val="0"/>
              <w:marTop w:val="0"/>
              <w:marBottom w:val="0"/>
              <w:divBdr>
                <w:top w:val="none" w:sz="0" w:space="0" w:color="auto"/>
                <w:left w:val="none" w:sz="0" w:space="0" w:color="auto"/>
                <w:bottom w:val="none" w:sz="0" w:space="0" w:color="auto"/>
                <w:right w:val="none" w:sz="0" w:space="0" w:color="auto"/>
              </w:divBdr>
              <w:divsChild>
                <w:div w:id="10569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84581">
      <w:bodyDiv w:val="1"/>
      <w:marLeft w:val="0"/>
      <w:marRight w:val="0"/>
      <w:marTop w:val="0"/>
      <w:marBottom w:val="0"/>
      <w:divBdr>
        <w:top w:val="none" w:sz="0" w:space="0" w:color="auto"/>
        <w:left w:val="none" w:sz="0" w:space="0" w:color="auto"/>
        <w:bottom w:val="none" w:sz="0" w:space="0" w:color="auto"/>
        <w:right w:val="none" w:sz="0" w:space="0" w:color="auto"/>
      </w:divBdr>
    </w:div>
    <w:div w:id="1653677452">
      <w:bodyDiv w:val="1"/>
      <w:marLeft w:val="0"/>
      <w:marRight w:val="0"/>
      <w:marTop w:val="0"/>
      <w:marBottom w:val="0"/>
      <w:divBdr>
        <w:top w:val="none" w:sz="0" w:space="0" w:color="auto"/>
        <w:left w:val="none" w:sz="0" w:space="0" w:color="auto"/>
        <w:bottom w:val="none" w:sz="0" w:space="0" w:color="auto"/>
        <w:right w:val="none" w:sz="0" w:space="0" w:color="auto"/>
      </w:divBdr>
      <w:divsChild>
        <w:div w:id="603726890">
          <w:marLeft w:val="0"/>
          <w:marRight w:val="0"/>
          <w:marTop w:val="0"/>
          <w:marBottom w:val="0"/>
          <w:divBdr>
            <w:top w:val="none" w:sz="0" w:space="0" w:color="auto"/>
            <w:left w:val="none" w:sz="0" w:space="0" w:color="auto"/>
            <w:bottom w:val="none" w:sz="0" w:space="0" w:color="auto"/>
            <w:right w:val="none" w:sz="0" w:space="0" w:color="auto"/>
          </w:divBdr>
          <w:divsChild>
            <w:div w:id="1702240071">
              <w:marLeft w:val="0"/>
              <w:marRight w:val="0"/>
              <w:marTop w:val="0"/>
              <w:marBottom w:val="0"/>
              <w:divBdr>
                <w:top w:val="none" w:sz="0" w:space="0" w:color="auto"/>
                <w:left w:val="none" w:sz="0" w:space="0" w:color="auto"/>
                <w:bottom w:val="none" w:sz="0" w:space="0" w:color="auto"/>
                <w:right w:val="none" w:sz="0" w:space="0" w:color="auto"/>
              </w:divBdr>
              <w:divsChild>
                <w:div w:id="217938385">
                  <w:marLeft w:val="0"/>
                  <w:marRight w:val="0"/>
                  <w:marTop w:val="0"/>
                  <w:marBottom w:val="0"/>
                  <w:divBdr>
                    <w:top w:val="none" w:sz="0" w:space="0" w:color="auto"/>
                    <w:left w:val="none" w:sz="0" w:space="0" w:color="auto"/>
                    <w:bottom w:val="none" w:sz="0" w:space="0" w:color="auto"/>
                    <w:right w:val="none" w:sz="0" w:space="0" w:color="auto"/>
                  </w:divBdr>
                  <w:divsChild>
                    <w:div w:id="5029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42355">
              <w:marLeft w:val="0"/>
              <w:marRight w:val="0"/>
              <w:marTop w:val="0"/>
              <w:marBottom w:val="0"/>
              <w:divBdr>
                <w:top w:val="none" w:sz="0" w:space="0" w:color="auto"/>
                <w:left w:val="none" w:sz="0" w:space="0" w:color="auto"/>
                <w:bottom w:val="none" w:sz="0" w:space="0" w:color="auto"/>
                <w:right w:val="none" w:sz="0" w:space="0" w:color="auto"/>
              </w:divBdr>
              <w:divsChild>
                <w:div w:id="40061109">
                  <w:marLeft w:val="0"/>
                  <w:marRight w:val="0"/>
                  <w:marTop w:val="0"/>
                  <w:marBottom w:val="0"/>
                  <w:divBdr>
                    <w:top w:val="none" w:sz="0" w:space="0" w:color="auto"/>
                    <w:left w:val="none" w:sz="0" w:space="0" w:color="auto"/>
                    <w:bottom w:val="none" w:sz="0" w:space="0" w:color="auto"/>
                    <w:right w:val="none" w:sz="0" w:space="0" w:color="auto"/>
                  </w:divBdr>
                </w:div>
              </w:divsChild>
            </w:div>
            <w:div w:id="762262797">
              <w:marLeft w:val="0"/>
              <w:marRight w:val="0"/>
              <w:marTop w:val="0"/>
              <w:marBottom w:val="0"/>
              <w:divBdr>
                <w:top w:val="none" w:sz="0" w:space="0" w:color="auto"/>
                <w:left w:val="none" w:sz="0" w:space="0" w:color="auto"/>
                <w:bottom w:val="none" w:sz="0" w:space="0" w:color="auto"/>
                <w:right w:val="none" w:sz="0" w:space="0" w:color="auto"/>
              </w:divBdr>
              <w:divsChild>
                <w:div w:id="1834103309">
                  <w:marLeft w:val="0"/>
                  <w:marRight w:val="0"/>
                  <w:marTop w:val="0"/>
                  <w:marBottom w:val="0"/>
                  <w:divBdr>
                    <w:top w:val="none" w:sz="0" w:space="0" w:color="auto"/>
                    <w:left w:val="none" w:sz="0" w:space="0" w:color="auto"/>
                    <w:bottom w:val="none" w:sz="0" w:space="0" w:color="auto"/>
                    <w:right w:val="none" w:sz="0" w:space="0" w:color="auto"/>
                  </w:divBdr>
                  <w:divsChild>
                    <w:div w:id="55666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05758">
              <w:marLeft w:val="0"/>
              <w:marRight w:val="0"/>
              <w:marTop w:val="0"/>
              <w:marBottom w:val="0"/>
              <w:divBdr>
                <w:top w:val="none" w:sz="0" w:space="0" w:color="auto"/>
                <w:left w:val="none" w:sz="0" w:space="0" w:color="auto"/>
                <w:bottom w:val="none" w:sz="0" w:space="0" w:color="auto"/>
                <w:right w:val="none" w:sz="0" w:space="0" w:color="auto"/>
              </w:divBdr>
              <w:divsChild>
                <w:div w:id="962728259">
                  <w:marLeft w:val="0"/>
                  <w:marRight w:val="0"/>
                  <w:marTop w:val="0"/>
                  <w:marBottom w:val="0"/>
                  <w:divBdr>
                    <w:top w:val="none" w:sz="0" w:space="0" w:color="auto"/>
                    <w:left w:val="none" w:sz="0" w:space="0" w:color="auto"/>
                    <w:bottom w:val="none" w:sz="0" w:space="0" w:color="auto"/>
                    <w:right w:val="none" w:sz="0" w:space="0" w:color="auto"/>
                  </w:divBdr>
                </w:div>
              </w:divsChild>
            </w:div>
            <w:div w:id="1617103753">
              <w:marLeft w:val="0"/>
              <w:marRight w:val="0"/>
              <w:marTop w:val="0"/>
              <w:marBottom w:val="0"/>
              <w:divBdr>
                <w:top w:val="none" w:sz="0" w:space="0" w:color="auto"/>
                <w:left w:val="none" w:sz="0" w:space="0" w:color="auto"/>
                <w:bottom w:val="none" w:sz="0" w:space="0" w:color="auto"/>
                <w:right w:val="none" w:sz="0" w:space="0" w:color="auto"/>
              </w:divBdr>
              <w:divsChild>
                <w:div w:id="6648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825706578">
      <w:bodyDiv w:val="1"/>
      <w:marLeft w:val="0"/>
      <w:marRight w:val="0"/>
      <w:marTop w:val="0"/>
      <w:marBottom w:val="0"/>
      <w:divBdr>
        <w:top w:val="none" w:sz="0" w:space="0" w:color="auto"/>
        <w:left w:val="none" w:sz="0" w:space="0" w:color="auto"/>
        <w:bottom w:val="none" w:sz="0" w:space="0" w:color="auto"/>
        <w:right w:val="none" w:sz="0" w:space="0" w:color="auto"/>
      </w:divBdr>
    </w:div>
    <w:div w:id="1867327877">
      <w:bodyDiv w:val="1"/>
      <w:marLeft w:val="0"/>
      <w:marRight w:val="0"/>
      <w:marTop w:val="0"/>
      <w:marBottom w:val="0"/>
      <w:divBdr>
        <w:top w:val="none" w:sz="0" w:space="0" w:color="auto"/>
        <w:left w:val="none" w:sz="0" w:space="0" w:color="auto"/>
        <w:bottom w:val="none" w:sz="0" w:space="0" w:color="auto"/>
        <w:right w:val="none" w:sz="0" w:space="0" w:color="auto"/>
      </w:divBdr>
      <w:divsChild>
        <w:div w:id="1367176593">
          <w:marLeft w:val="0"/>
          <w:marRight w:val="0"/>
          <w:marTop w:val="0"/>
          <w:marBottom w:val="0"/>
          <w:divBdr>
            <w:top w:val="none" w:sz="0" w:space="0" w:color="auto"/>
            <w:left w:val="none" w:sz="0" w:space="0" w:color="auto"/>
            <w:bottom w:val="none" w:sz="0" w:space="0" w:color="auto"/>
            <w:right w:val="none" w:sz="0" w:space="0" w:color="auto"/>
          </w:divBdr>
          <w:divsChild>
            <w:div w:id="1589188428">
              <w:marLeft w:val="0"/>
              <w:marRight w:val="0"/>
              <w:marTop w:val="0"/>
              <w:marBottom w:val="0"/>
              <w:divBdr>
                <w:top w:val="none" w:sz="0" w:space="0" w:color="auto"/>
                <w:left w:val="none" w:sz="0" w:space="0" w:color="auto"/>
                <w:bottom w:val="none" w:sz="0" w:space="0" w:color="auto"/>
                <w:right w:val="none" w:sz="0" w:space="0" w:color="auto"/>
              </w:divBdr>
              <w:divsChild>
                <w:div w:id="2137988406">
                  <w:marLeft w:val="0"/>
                  <w:marRight w:val="0"/>
                  <w:marTop w:val="0"/>
                  <w:marBottom w:val="0"/>
                  <w:divBdr>
                    <w:top w:val="none" w:sz="0" w:space="0" w:color="auto"/>
                    <w:left w:val="none" w:sz="0" w:space="0" w:color="auto"/>
                    <w:bottom w:val="none" w:sz="0" w:space="0" w:color="auto"/>
                    <w:right w:val="none" w:sz="0" w:space="0" w:color="auto"/>
                  </w:divBdr>
                </w:div>
                <w:div w:id="8016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729302">
      <w:bodyDiv w:val="1"/>
      <w:marLeft w:val="0"/>
      <w:marRight w:val="0"/>
      <w:marTop w:val="0"/>
      <w:marBottom w:val="0"/>
      <w:divBdr>
        <w:top w:val="none" w:sz="0" w:space="0" w:color="auto"/>
        <w:left w:val="none" w:sz="0" w:space="0" w:color="auto"/>
        <w:bottom w:val="none" w:sz="0" w:space="0" w:color="auto"/>
        <w:right w:val="none" w:sz="0" w:space="0" w:color="auto"/>
      </w:divBdr>
      <w:divsChild>
        <w:div w:id="1130785485">
          <w:marLeft w:val="0"/>
          <w:marRight w:val="0"/>
          <w:marTop w:val="0"/>
          <w:marBottom w:val="0"/>
          <w:divBdr>
            <w:top w:val="none" w:sz="0" w:space="0" w:color="auto"/>
            <w:left w:val="none" w:sz="0" w:space="0" w:color="auto"/>
            <w:bottom w:val="none" w:sz="0" w:space="0" w:color="auto"/>
            <w:right w:val="none" w:sz="0" w:space="0" w:color="auto"/>
          </w:divBdr>
          <w:divsChild>
            <w:div w:id="32201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 w:id="2101220406">
      <w:bodyDiv w:val="1"/>
      <w:marLeft w:val="0"/>
      <w:marRight w:val="0"/>
      <w:marTop w:val="0"/>
      <w:marBottom w:val="0"/>
      <w:divBdr>
        <w:top w:val="none" w:sz="0" w:space="0" w:color="auto"/>
        <w:left w:val="none" w:sz="0" w:space="0" w:color="auto"/>
        <w:bottom w:val="none" w:sz="0" w:space="0" w:color="auto"/>
        <w:right w:val="none" w:sz="0" w:space="0" w:color="auto"/>
      </w:divBdr>
      <w:divsChild>
        <w:div w:id="740367835">
          <w:marLeft w:val="0"/>
          <w:marRight w:val="0"/>
          <w:marTop w:val="0"/>
          <w:marBottom w:val="0"/>
          <w:divBdr>
            <w:top w:val="none" w:sz="0" w:space="0" w:color="auto"/>
            <w:left w:val="none" w:sz="0" w:space="0" w:color="auto"/>
            <w:bottom w:val="none" w:sz="0" w:space="0" w:color="auto"/>
            <w:right w:val="none" w:sz="0" w:space="0" w:color="auto"/>
          </w:divBdr>
          <w:divsChild>
            <w:div w:id="433087389">
              <w:marLeft w:val="0"/>
              <w:marRight w:val="0"/>
              <w:marTop w:val="0"/>
              <w:marBottom w:val="0"/>
              <w:divBdr>
                <w:top w:val="none" w:sz="0" w:space="0" w:color="auto"/>
                <w:left w:val="none" w:sz="0" w:space="0" w:color="auto"/>
                <w:bottom w:val="none" w:sz="0" w:space="0" w:color="auto"/>
                <w:right w:val="none" w:sz="0" w:space="0" w:color="auto"/>
              </w:divBdr>
              <w:divsChild>
                <w:div w:id="11131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D3A0C-D716-496C-B374-8AB0CD36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1593</Words>
  <Characters>9084</Characters>
  <Application>Microsoft Office Word</Application>
  <DocSecurity>0</DocSecurity>
  <Lines>75</Lines>
  <Paragraphs>21</Paragraphs>
  <ScaleCrop>false</ScaleCrop>
  <HeadingPairs>
    <vt:vector size="8" baseType="variant">
      <vt:variant>
        <vt:lpstr>Titre</vt:lpstr>
      </vt:variant>
      <vt:variant>
        <vt:i4>1</vt:i4>
      </vt:variant>
      <vt:variant>
        <vt:lpstr>Title</vt:lpstr>
      </vt:variant>
      <vt:variant>
        <vt:i4>1</vt:i4>
      </vt:variant>
      <vt:variant>
        <vt:lpstr>Títol</vt:lpstr>
      </vt:variant>
      <vt:variant>
        <vt:i4>1</vt:i4>
      </vt:variant>
      <vt:variant>
        <vt:lpstr>Título</vt:lpstr>
      </vt:variant>
      <vt:variant>
        <vt:i4>1</vt:i4>
      </vt:variant>
    </vt:vector>
  </HeadingPairs>
  <TitlesOfParts>
    <vt:vector size="4" baseType="lpstr">
      <vt:lpstr/>
      <vt:lpstr/>
      <vt:lpstr/>
      <vt:lpstr/>
    </vt:vector>
  </TitlesOfParts>
  <Company/>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Esther Jordana Santiago</dc:creator>
  <cp:keywords/>
  <dc:description/>
  <cp:lastModifiedBy>Andréa BARREIRA</cp:lastModifiedBy>
  <cp:revision>4</cp:revision>
  <dcterms:created xsi:type="dcterms:W3CDTF">2025-02-09T11:14:00Z</dcterms:created>
  <dcterms:modified xsi:type="dcterms:W3CDTF">2025-02-11T11:36:00Z</dcterms:modified>
</cp:coreProperties>
</file>